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6DFEA444" w:rsidR="00CE30F6" w:rsidRPr="00CE30F6" w:rsidRDefault="00347C87" w:rsidP="00F41560">
            <w:pPr>
              <w:rPr>
                <w:rFonts w:asciiTheme="minorHAnsi" w:hAnsiTheme="minorHAnsi" w:cstheme="minorHAnsi"/>
                <w:b/>
              </w:rPr>
            </w:pPr>
            <w:r>
              <w:rPr>
                <w:rFonts w:asciiTheme="minorHAnsi" w:hAnsiTheme="minorHAnsi" w:cstheme="minorHAnsi"/>
                <w:b/>
              </w:rPr>
              <w:t xml:space="preserve">November </w:t>
            </w:r>
            <w:r w:rsidR="005F40B5">
              <w:rPr>
                <w:rFonts w:asciiTheme="minorHAnsi" w:hAnsiTheme="minorHAnsi" w:cstheme="minorHAnsi"/>
                <w:b/>
              </w:rPr>
              <w:t>16, 2022</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22E94229" w:rsidR="00CE30F6" w:rsidRPr="00CE30F6" w:rsidRDefault="00F97D0E" w:rsidP="00F41560">
            <w:pPr>
              <w:rPr>
                <w:rFonts w:asciiTheme="minorHAnsi" w:hAnsiTheme="minorHAnsi" w:cstheme="minorHAnsi"/>
                <w:b/>
              </w:rPr>
            </w:pPr>
            <w:r>
              <w:rPr>
                <w:rFonts w:asciiTheme="minorHAnsi" w:hAnsiTheme="minorHAnsi" w:cstheme="minorHAnsi"/>
                <w:b/>
              </w:rPr>
              <w:t>GOVERNANCE PROCESS</w:t>
            </w:r>
            <w:r w:rsidR="00CA272B">
              <w:rPr>
                <w:rFonts w:asciiTheme="minorHAnsi" w:hAnsiTheme="minorHAnsi" w:cstheme="minorHAnsi"/>
                <w:b/>
              </w:rPr>
              <w:t xml:space="preserve"> </w:t>
            </w:r>
            <w:r w:rsidR="00EE4235">
              <w:rPr>
                <w:rFonts w:asciiTheme="minorHAnsi" w:hAnsiTheme="minorHAnsi" w:cstheme="minorHAnsi"/>
                <w:b/>
              </w:rPr>
              <w:t>(</w:t>
            </w:r>
            <w:r>
              <w:rPr>
                <w:rFonts w:asciiTheme="minorHAnsi" w:hAnsiTheme="minorHAnsi" w:cstheme="minorHAnsi"/>
                <w:b/>
              </w:rPr>
              <w:t>GP</w:t>
            </w:r>
            <w:r w:rsidR="00C42784">
              <w:rPr>
                <w:rFonts w:asciiTheme="minorHAnsi" w:hAnsiTheme="minorHAnsi" w:cstheme="minorHAnsi"/>
                <w:b/>
              </w:rPr>
              <w:t xml:space="preserve">) </w:t>
            </w:r>
            <w:r w:rsidR="00EE4235">
              <w:rPr>
                <w:rFonts w:asciiTheme="minorHAnsi" w:hAnsiTheme="minorHAnsi" w:cstheme="minorHAnsi"/>
                <w:b/>
              </w:rPr>
              <w:t>0</w:t>
            </w:r>
            <w:r w:rsidR="00766E3C">
              <w:rPr>
                <w:rFonts w:asciiTheme="minorHAnsi" w:hAnsiTheme="minorHAnsi" w:cstheme="minorHAnsi"/>
                <w:b/>
              </w:rPr>
              <w:t>2</w:t>
            </w:r>
            <w:r w:rsidR="00C42784">
              <w:rPr>
                <w:rFonts w:asciiTheme="minorHAnsi" w:hAnsiTheme="minorHAnsi" w:cstheme="minorHAnsi"/>
                <w:b/>
              </w:rPr>
              <w:t xml:space="preserve">:  </w:t>
            </w:r>
            <w:r w:rsidR="00766E3C">
              <w:rPr>
                <w:rFonts w:asciiTheme="minorHAnsi" w:hAnsiTheme="minorHAnsi" w:cstheme="minorHAnsi"/>
                <w:b/>
              </w:rPr>
              <w:t>GOVERNING STYLE</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156F7F" w:rsidRDefault="004F52B4" w:rsidP="00F41560">
            <w:pPr>
              <w:rPr>
                <w:rFonts w:asciiTheme="minorHAnsi" w:hAnsiTheme="minorHAnsi" w:cstheme="minorHAnsi"/>
              </w:rPr>
            </w:pPr>
            <w:r>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EE4235">
              <w:rPr>
                <w:rFonts w:asciiTheme="minorHAnsi" w:hAnsiTheme="minorHAnsi" w:cstheme="minorHAnsi"/>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CE30F6" w:rsidRDefault="004F52B4" w:rsidP="00F41560">
            <w:pPr>
              <w:rPr>
                <w:rFonts w:asciiTheme="minorHAnsi" w:hAnsiTheme="minorHAnsi" w:cstheme="minorHAnsi"/>
              </w:rPr>
            </w:pPr>
            <w:r>
              <w:rPr>
                <w:rFonts w:asciiTheme="minorHAnsi" w:hAnsiTheme="minorHAnsi" w:cstheme="minorHAnsi"/>
                <w:b/>
              </w:rPr>
              <w:sym w:font="Wingdings" w:char="F06F"/>
            </w:r>
            <w:r w:rsidR="00EA3332" w:rsidRPr="00EE4235">
              <w:rPr>
                <w:rFonts w:asciiTheme="minorHAnsi" w:hAnsiTheme="minorHAnsi" w:cstheme="minorHAnsi"/>
                <w:b/>
              </w:rPr>
              <w:t xml:space="preserve"> </w:t>
            </w:r>
            <w:r w:rsidR="00CE30F6" w:rsidRPr="00EE4235">
              <w:rPr>
                <w:rFonts w:asciiTheme="minorHAnsi" w:hAnsiTheme="minorHAnsi" w:cstheme="minorHAnsi"/>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766E3C" w:rsidRDefault="004F52B4" w:rsidP="00F41560">
            <w:pPr>
              <w:rPr>
                <w:rFonts w:asciiTheme="minorHAnsi" w:hAnsiTheme="minorHAnsi" w:cstheme="minorHAnsi"/>
                <w:highlight w:val="yellow"/>
              </w:rPr>
            </w:pPr>
            <w:r w:rsidRPr="00766E3C">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766E3C" w:rsidRDefault="00CE30F6" w:rsidP="00F41560">
            <w:pPr>
              <w:rPr>
                <w:rFonts w:asciiTheme="minorHAnsi" w:hAnsiTheme="minorHAnsi" w:cstheme="minorHAnsi"/>
                <w:highlight w:val="yellow"/>
              </w:rPr>
            </w:pPr>
            <w:r w:rsidRPr="00766E3C">
              <w:rPr>
                <w:rFonts w:asciiTheme="minorHAnsi" w:hAnsiTheme="minorHAnsi" w:cstheme="minorHAnsi"/>
                <w:highlight w:val="yellow"/>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F97D0E"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1554BF42" w:rsidR="00CE30F6" w:rsidRPr="00F97D0E" w:rsidRDefault="00F97D0E" w:rsidP="00F41560">
            <w:pPr>
              <w:rPr>
                <w:rFonts w:asciiTheme="minorHAnsi" w:hAnsiTheme="minorHAnsi" w:cstheme="minorHAnsi"/>
              </w:rPr>
            </w:pPr>
            <w:r>
              <w:rPr>
                <w:rFonts w:asciiTheme="minorHAnsi" w:hAnsiTheme="minorHAnsi" w:cstheme="minorHAnsi"/>
                <w:b/>
              </w:rPr>
              <w:sym w:font="Wingdings" w:char="F0A8"/>
            </w:r>
            <w:r w:rsidR="00CE30F6" w:rsidRPr="00F97D0E">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6A51E2B0" w:rsidR="00CE30F6" w:rsidRPr="00CE30F6" w:rsidRDefault="00F97D0E" w:rsidP="00F41560">
            <w:pPr>
              <w:rPr>
                <w:rFonts w:asciiTheme="minorHAnsi" w:hAnsiTheme="minorHAnsi" w:cstheme="minorHAnsi"/>
              </w:rPr>
            </w:pPr>
            <w:r>
              <w:rPr>
                <w:rFonts w:asciiTheme="minorHAnsi" w:hAnsiTheme="minorHAnsi" w:cstheme="minorHAnsi"/>
                <w:highlight w:val="yellow"/>
              </w:rPr>
              <w:sym w:font="Wingdings" w:char="F078"/>
            </w:r>
            <w:r w:rsidR="00CE30F6" w:rsidRPr="00F97D0E">
              <w:rPr>
                <w:rFonts w:asciiTheme="minorHAnsi" w:hAnsiTheme="minorHAnsi" w:cstheme="minorHAnsi"/>
                <w:highlight w:val="yellow"/>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F97D0E" w:rsidRDefault="00CE30F6"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F97D0E" w:rsidRDefault="008259E5"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35198C51"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sidR="00F97D0E">
              <w:rPr>
                <w:rFonts w:asciiTheme="minorHAnsi" w:hAnsiTheme="minorHAnsi" w:cstheme="minorHAnsi"/>
              </w:rPr>
              <w:t>GP</w:t>
            </w:r>
            <w:r w:rsidR="002D7B52">
              <w:rPr>
                <w:rFonts w:asciiTheme="minorHAnsi" w:hAnsiTheme="minorHAnsi" w:cstheme="minorHAnsi"/>
              </w:rPr>
              <w:t xml:space="preserve"> 0</w:t>
            </w:r>
            <w:r w:rsidR="00766E3C">
              <w:rPr>
                <w:rFonts w:asciiTheme="minorHAnsi" w:hAnsiTheme="minorHAnsi" w:cstheme="minorHAnsi"/>
              </w:rPr>
              <w:t>2</w:t>
            </w:r>
            <w:r>
              <w:rPr>
                <w:rFonts w:asciiTheme="minorHAnsi" w:hAnsiTheme="minorHAnsi" w:cstheme="minorHAnsi"/>
              </w:rPr>
              <w:t xml:space="preserve">:  </w:t>
            </w:r>
            <w:r w:rsidR="00766E3C">
              <w:rPr>
                <w:rFonts w:asciiTheme="minorHAnsi" w:hAnsiTheme="minorHAnsi" w:cstheme="minorHAnsi"/>
              </w:rPr>
              <w:t>Governing Style</w:t>
            </w:r>
          </w:p>
        </w:tc>
        <w:tc>
          <w:tcPr>
            <w:tcW w:w="3235" w:type="dxa"/>
          </w:tcPr>
          <w:p w14:paraId="6DDE290C" w14:textId="203C38D7"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2D7B52">
              <w:rPr>
                <w:rFonts w:asciiTheme="minorHAnsi" w:hAnsiTheme="minorHAnsi" w:cstheme="minorHAnsi"/>
              </w:rPr>
              <w:t>0</w:t>
            </w:r>
            <w:r w:rsidR="00766E3C">
              <w:rPr>
                <w:rFonts w:asciiTheme="minorHAnsi" w:hAnsiTheme="minorHAnsi" w:cstheme="minorHAnsi"/>
              </w:rPr>
              <w:t>2</w:t>
            </w:r>
          </w:p>
        </w:tc>
      </w:tr>
      <w:tr w:rsidR="00967C2E" w14:paraId="0938BD7C" w14:textId="77777777" w:rsidTr="008F2434">
        <w:tc>
          <w:tcPr>
            <w:tcW w:w="10790" w:type="dxa"/>
            <w:gridSpan w:val="2"/>
          </w:tcPr>
          <w:p w14:paraId="7EC5E6EB" w14:textId="4EACD708"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0058296F">
              <w:rPr>
                <w:rFonts w:asciiTheme="minorHAnsi" w:hAnsiTheme="minorHAnsi" w:cstheme="minorHAnsi"/>
              </w:rPr>
              <w:t>Governance Process</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68E4484F" w:rsidR="00B20A6A" w:rsidRDefault="00B20A6A" w:rsidP="008F2434">
            <w:pPr>
              <w:rPr>
                <w:rFonts w:asciiTheme="minorHAnsi" w:hAnsiTheme="minorHAnsi" w:cstheme="minorHAnsi"/>
              </w:rPr>
            </w:pPr>
            <w:r>
              <w:rPr>
                <w:rFonts w:asciiTheme="minorHAnsi" w:hAnsiTheme="minorHAnsi" w:cstheme="minorHAnsi"/>
              </w:rPr>
              <w:t xml:space="preserve">Amended </w:t>
            </w:r>
            <w:r w:rsidR="002D7B52">
              <w:rPr>
                <w:rFonts w:asciiTheme="minorHAnsi" w:hAnsiTheme="minorHAnsi" w:cstheme="minorHAnsi"/>
              </w:rPr>
              <w:t>December</w:t>
            </w:r>
            <w:r>
              <w:rPr>
                <w:rFonts w:asciiTheme="minorHAnsi" w:hAnsiTheme="minorHAnsi" w:cstheme="minorHAnsi"/>
              </w:rPr>
              <w:t xml:space="preserve"> 200</w:t>
            </w:r>
            <w:r w:rsidR="002D7B52">
              <w:rPr>
                <w:rFonts w:asciiTheme="minorHAnsi" w:hAnsiTheme="minorHAnsi" w:cstheme="minorHAnsi"/>
              </w:rPr>
              <w:t>5</w:t>
            </w:r>
            <w:r>
              <w:rPr>
                <w:rFonts w:asciiTheme="minorHAnsi" w:hAnsiTheme="minorHAnsi" w:cstheme="minorHAnsi"/>
              </w:rPr>
              <w:t xml:space="preserve">, </w:t>
            </w:r>
            <w:r w:rsidR="0058296F">
              <w:rPr>
                <w:rFonts w:asciiTheme="minorHAnsi" w:hAnsiTheme="minorHAnsi" w:cstheme="minorHAnsi"/>
              </w:rPr>
              <w:t>June</w:t>
            </w:r>
            <w:r w:rsidR="00A539E1">
              <w:rPr>
                <w:rFonts w:asciiTheme="minorHAnsi" w:hAnsiTheme="minorHAnsi" w:cstheme="minorHAnsi"/>
              </w:rPr>
              <w:t xml:space="preserve"> 2019</w:t>
            </w:r>
          </w:p>
          <w:p w14:paraId="60C9F81D" w14:textId="05859282"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766E3C">
              <w:rPr>
                <w:rFonts w:asciiTheme="minorHAnsi" w:hAnsiTheme="minorHAnsi" w:cstheme="minorHAnsi"/>
              </w:rPr>
              <w:t>November</w:t>
            </w:r>
            <w:r>
              <w:rPr>
                <w:rFonts w:asciiTheme="minorHAnsi" w:hAnsiTheme="minorHAnsi" w:cstheme="minorHAnsi"/>
              </w:rPr>
              <w:t xml:space="preserve"> 202</w:t>
            </w:r>
            <w:r w:rsidR="007C02F0">
              <w:rPr>
                <w:rFonts w:asciiTheme="minorHAnsi" w:hAnsiTheme="minorHAnsi" w:cstheme="minorHAnsi"/>
              </w:rPr>
              <w:t>2</w:t>
            </w:r>
          </w:p>
        </w:tc>
      </w:tr>
      <w:tr w:rsidR="00967C2E" w14:paraId="45A6081C" w14:textId="77777777" w:rsidTr="008F2434">
        <w:tc>
          <w:tcPr>
            <w:tcW w:w="10790" w:type="dxa"/>
            <w:gridSpan w:val="2"/>
          </w:tcPr>
          <w:p w14:paraId="10B33286" w14:textId="33BC9D7E"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Pr>
                <w:rFonts w:asciiTheme="minorHAnsi" w:hAnsiTheme="minorHAnsi" w:cstheme="minorHAnsi"/>
              </w:rPr>
              <w:t>Year</w:t>
            </w:r>
            <w:r w:rsidR="000658BE">
              <w:rPr>
                <w:rFonts w:asciiTheme="minorHAnsi" w:hAnsiTheme="minorHAnsi" w:cstheme="minorHAnsi"/>
              </w:rPr>
              <w:t xml:space="preserve"> in November</w:t>
            </w:r>
          </w:p>
        </w:tc>
      </w:tr>
      <w:tr w:rsidR="00967C2E" w14:paraId="3356683F" w14:textId="77777777" w:rsidTr="008F2434">
        <w:tc>
          <w:tcPr>
            <w:tcW w:w="10790" w:type="dxa"/>
            <w:gridSpan w:val="2"/>
          </w:tcPr>
          <w:p w14:paraId="0D91F450"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One Time a Year</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7D115CCB" w14:textId="1E21DD1F" w:rsidR="00D469CC" w:rsidRDefault="00D469CC" w:rsidP="00967C2E"/>
    <w:p w14:paraId="142CAE07" w14:textId="62DADFE1" w:rsidR="00D469CC" w:rsidRDefault="00D469CC" w:rsidP="00967C2E"/>
    <w:p w14:paraId="2266E957" w14:textId="77777777" w:rsidR="00D469CC" w:rsidRDefault="00D469CC" w:rsidP="00967C2E"/>
    <w:p w14:paraId="5B501B7B" w14:textId="4582E58E" w:rsidR="00967C2E" w:rsidRDefault="00967C2E" w:rsidP="00967C2E">
      <w:pPr>
        <w:rPr>
          <w:rFonts w:asciiTheme="minorHAnsi" w:hAnsiTheme="minorHAnsi" w:cstheme="minorHAnsi"/>
          <w:sz w:val="22"/>
        </w:rPr>
      </w:pPr>
    </w:p>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t>Current Policy Language</w:t>
      </w:r>
    </w:p>
    <w:p w14:paraId="5D5588F2" w14:textId="77777777" w:rsidR="0011659F" w:rsidRPr="007F00FB" w:rsidRDefault="0011659F" w:rsidP="00967C2E">
      <w:pPr>
        <w:rPr>
          <w:rFonts w:asciiTheme="minorHAnsi" w:hAnsiTheme="minorHAnsi" w:cstheme="minorHAnsi"/>
          <w:sz w:val="22"/>
        </w:rPr>
      </w:pPr>
    </w:p>
    <w:p w14:paraId="2B3B2D07" w14:textId="6BAABAE4" w:rsidR="00967C2E" w:rsidRPr="000658BE" w:rsidRDefault="002D7B52" w:rsidP="00967C2E">
      <w:pPr>
        <w:rPr>
          <w:rFonts w:asciiTheme="minorHAnsi" w:hAnsiTheme="minorHAnsi" w:cstheme="minorHAnsi"/>
          <w:bCs/>
        </w:rPr>
      </w:pPr>
      <w:r w:rsidRPr="000658BE">
        <w:rPr>
          <w:rFonts w:asciiTheme="minorHAnsi" w:hAnsiTheme="minorHAnsi" w:cstheme="minorHAnsi"/>
          <w:bCs/>
        </w:rPr>
        <w:t>BOOK POLICY GOVERNANCE POLICIES (</w:t>
      </w:r>
      <w:r w:rsidR="0058296F" w:rsidRPr="000658BE">
        <w:rPr>
          <w:rFonts w:asciiTheme="minorHAnsi" w:hAnsiTheme="minorHAnsi" w:cstheme="minorHAnsi"/>
          <w:bCs/>
        </w:rPr>
        <w:t>GP</w:t>
      </w:r>
      <w:r w:rsidRPr="000658BE">
        <w:rPr>
          <w:rFonts w:asciiTheme="minorHAnsi" w:hAnsiTheme="minorHAnsi" w:cstheme="minorHAnsi"/>
          <w:bCs/>
        </w:rPr>
        <w:t>) 0</w:t>
      </w:r>
      <w:r w:rsidR="00766E3C" w:rsidRPr="000658BE">
        <w:rPr>
          <w:rFonts w:asciiTheme="minorHAnsi" w:hAnsiTheme="minorHAnsi" w:cstheme="minorHAnsi"/>
          <w:bCs/>
        </w:rPr>
        <w:t>2</w:t>
      </w:r>
      <w:r w:rsidR="00967C2E" w:rsidRPr="000658BE">
        <w:rPr>
          <w:rFonts w:asciiTheme="minorHAnsi" w:hAnsiTheme="minorHAnsi" w:cstheme="minorHAnsi"/>
          <w:bCs/>
        </w:rPr>
        <w:t xml:space="preserve">:  </w:t>
      </w:r>
      <w:r w:rsidR="00766E3C" w:rsidRPr="000658BE">
        <w:rPr>
          <w:rFonts w:asciiTheme="minorHAnsi" w:hAnsiTheme="minorHAnsi" w:cstheme="minorHAnsi"/>
          <w:bCs/>
        </w:rPr>
        <w:t>GOVERNING STYLE</w:t>
      </w:r>
    </w:p>
    <w:p w14:paraId="183B3C3D" w14:textId="76329BCA" w:rsidR="00967C2E" w:rsidRPr="000658BE" w:rsidRDefault="00967C2E" w:rsidP="00967C2E">
      <w:pPr>
        <w:rPr>
          <w:rFonts w:asciiTheme="minorHAnsi" w:hAnsiTheme="minorHAnsi" w:cstheme="minorHAnsi"/>
          <w:bCs/>
        </w:rPr>
      </w:pPr>
    </w:p>
    <w:p w14:paraId="748198BB" w14:textId="77777777" w:rsidR="00766E3C" w:rsidRPr="000658BE" w:rsidRDefault="00766E3C" w:rsidP="006B1867">
      <w:pPr>
        <w:spacing w:after="160" w:line="259" w:lineRule="auto"/>
        <w:ind w:right="1440"/>
        <w:rPr>
          <w:rFonts w:ascii="Calibri" w:eastAsia="Calibri" w:hAnsi="Calibri"/>
        </w:rPr>
      </w:pPr>
      <w:r w:rsidRPr="000658BE">
        <w:rPr>
          <w:rFonts w:ascii="Calibri" w:eastAsia="Calibri" w:hAnsi="Calibri"/>
        </w:rPr>
        <w:t>The Board will govern lawfully with emphasis on outward organizational vision rather than on interpersonal issues of the Board; encourage diversity in viewpoints; focus on strategic leadership rather than administrative detail; make clear distinction between Board and Superintendent roles; make collective rather than individual decisions; exhibit future orientation rather than past or present; and govern proactively rather than reactively.</w:t>
      </w:r>
    </w:p>
    <w:p w14:paraId="2ACD366B" w14:textId="77777777" w:rsidR="00766E3C" w:rsidRPr="000658BE" w:rsidRDefault="00766E3C" w:rsidP="00766E3C">
      <w:pPr>
        <w:spacing w:after="160" w:line="259" w:lineRule="auto"/>
        <w:ind w:left="1440" w:right="1440"/>
        <w:rPr>
          <w:rFonts w:ascii="Calibri" w:eastAsia="Calibri" w:hAnsi="Calibri"/>
        </w:rPr>
      </w:pPr>
    </w:p>
    <w:p w14:paraId="1DAD83B6" w14:textId="77777777" w:rsidR="00766E3C" w:rsidRPr="000658BE" w:rsidRDefault="00766E3C" w:rsidP="006B1867">
      <w:pPr>
        <w:spacing w:after="160" w:line="259" w:lineRule="auto"/>
        <w:ind w:right="1440"/>
        <w:rPr>
          <w:rFonts w:ascii="Calibri" w:eastAsia="Calibri" w:hAnsi="Calibri"/>
          <w:b/>
        </w:rPr>
      </w:pPr>
      <w:r w:rsidRPr="000658BE">
        <w:rPr>
          <w:rFonts w:ascii="Calibri" w:eastAsia="Calibri" w:hAnsi="Calibri"/>
          <w:b/>
        </w:rPr>
        <w:t>Accordingly:</w:t>
      </w:r>
    </w:p>
    <w:p w14:paraId="24A2929E" w14:textId="77777777" w:rsidR="00766E3C" w:rsidRPr="000658BE" w:rsidRDefault="00766E3C" w:rsidP="006B1867">
      <w:pPr>
        <w:spacing w:after="160" w:line="259" w:lineRule="auto"/>
        <w:ind w:left="720" w:right="1440"/>
        <w:rPr>
          <w:rFonts w:ascii="Calibri" w:eastAsia="Calibri" w:hAnsi="Calibri"/>
        </w:rPr>
      </w:pPr>
      <w:r w:rsidRPr="000658BE">
        <w:rPr>
          <w:rFonts w:ascii="Calibri" w:eastAsia="Calibri" w:hAnsi="Calibri"/>
        </w:rPr>
        <w:t>The Board will cultivate a sense of group responsibility. The Board, not the Superintendent, will be responsible for governing with excellence. The Board will use the expertise of individual Board members to enhance the ability of the Board as a body, but the Board will not substitute judgments of individual members for the Board’s collective values. The Board will work in partnership with the Superintendent and staff.</w:t>
      </w:r>
    </w:p>
    <w:p w14:paraId="0BDF8567" w14:textId="77777777" w:rsidR="00766E3C" w:rsidRPr="000658BE" w:rsidRDefault="00766E3C" w:rsidP="006B1867">
      <w:pPr>
        <w:spacing w:after="160" w:line="259" w:lineRule="auto"/>
        <w:ind w:left="720" w:right="1440"/>
        <w:rPr>
          <w:rFonts w:ascii="Calibri" w:eastAsia="Calibri" w:hAnsi="Calibri"/>
        </w:rPr>
      </w:pPr>
      <w:r w:rsidRPr="000658BE">
        <w:rPr>
          <w:rFonts w:ascii="Calibri" w:eastAsia="Calibri" w:hAnsi="Calibri"/>
        </w:rPr>
        <w:t xml:space="preserve">The Board will hold itself accountable for governing with excellence. This self-discipline will apply to matters such as attendance, preparation for meetings, adherence to policymaking principles, respect of roles, and ensuring effective governance capability into the future. </w:t>
      </w:r>
    </w:p>
    <w:p w14:paraId="190D7745" w14:textId="537E1BA2" w:rsidR="00766E3C" w:rsidRPr="000658BE" w:rsidRDefault="00766E3C" w:rsidP="006B1867">
      <w:pPr>
        <w:spacing w:after="160" w:line="259" w:lineRule="auto"/>
        <w:ind w:left="720" w:right="1440"/>
        <w:rPr>
          <w:rFonts w:ascii="Calibri" w:eastAsia="Calibri" w:hAnsi="Calibri"/>
        </w:rPr>
      </w:pPr>
      <w:r w:rsidRPr="000658BE">
        <w:rPr>
          <w:rFonts w:ascii="Calibri" w:eastAsia="Calibri" w:hAnsi="Calibri"/>
        </w:rPr>
        <w:t>The Board will direct, control</w:t>
      </w:r>
      <w:r w:rsidR="0072668A" w:rsidRPr="000658BE">
        <w:rPr>
          <w:rFonts w:ascii="Calibri" w:eastAsia="Calibri" w:hAnsi="Calibri"/>
        </w:rPr>
        <w:t>,</w:t>
      </w:r>
      <w:r w:rsidRPr="000658BE">
        <w:rPr>
          <w:rFonts w:ascii="Calibri" w:eastAsia="Calibri" w:hAnsi="Calibri"/>
        </w:rPr>
        <w:t xml:space="preserve"> and inspire the organization through the careful establishment of written policies reflecting the Board’s values and perspectives.</w:t>
      </w:r>
    </w:p>
    <w:p w14:paraId="34A5440B" w14:textId="77777777" w:rsidR="00766E3C" w:rsidRPr="000658BE" w:rsidRDefault="00766E3C" w:rsidP="006B1867">
      <w:pPr>
        <w:spacing w:after="160" w:line="259" w:lineRule="auto"/>
        <w:ind w:left="720" w:right="1440"/>
        <w:rPr>
          <w:rFonts w:ascii="Calibri" w:eastAsia="Calibri" w:hAnsi="Calibri"/>
        </w:rPr>
      </w:pPr>
      <w:r w:rsidRPr="000658BE">
        <w:rPr>
          <w:rFonts w:ascii="Calibri" w:eastAsia="Calibri" w:hAnsi="Calibri"/>
        </w:rPr>
        <w:t>Continuous Board development will include orientation of candidates and new members in the Board’s governance process and periodic Board discussion and evaluation of process to assure continued improvement.</w:t>
      </w:r>
    </w:p>
    <w:p w14:paraId="433039C1" w14:textId="77777777" w:rsidR="00766E3C" w:rsidRPr="000658BE" w:rsidRDefault="00766E3C" w:rsidP="006B1867">
      <w:pPr>
        <w:spacing w:after="160" w:line="259" w:lineRule="auto"/>
        <w:ind w:left="720" w:right="1440"/>
        <w:rPr>
          <w:rFonts w:ascii="Calibri" w:eastAsia="Calibri" w:hAnsi="Calibri"/>
        </w:rPr>
      </w:pPr>
      <w:r w:rsidRPr="000658BE">
        <w:rPr>
          <w:rFonts w:ascii="Calibri" w:eastAsia="Calibri" w:hAnsi="Calibri"/>
        </w:rPr>
        <w:t>The Board will allow no officer, individual or committee of the Board to hinder or be an excuse for the Board’s not fulfilling its commitments.</w:t>
      </w:r>
    </w:p>
    <w:p w14:paraId="2C248033" w14:textId="77777777" w:rsidR="00766E3C" w:rsidRPr="000658BE" w:rsidRDefault="00766E3C" w:rsidP="006B1867">
      <w:pPr>
        <w:spacing w:after="160" w:line="259" w:lineRule="auto"/>
        <w:ind w:left="720" w:right="1440"/>
        <w:rPr>
          <w:rFonts w:ascii="Calibri" w:eastAsia="Calibri" w:hAnsi="Calibri"/>
        </w:rPr>
      </w:pPr>
      <w:r w:rsidRPr="000658BE">
        <w:rPr>
          <w:rFonts w:ascii="Calibri" w:eastAsia="Calibri" w:hAnsi="Calibri"/>
        </w:rPr>
        <w:t>The Board will monitor its process and performance at each meeting through a debriefing process. Self-monitoring will include comparison of actual Board activity and discipline to the standards reflected in policies in the Governance Process and Board/Management Delegation categories.</w:t>
      </w:r>
    </w:p>
    <w:p w14:paraId="0E8F8767" w14:textId="77777777" w:rsidR="00766E3C" w:rsidRPr="000658BE" w:rsidRDefault="00766E3C" w:rsidP="00967C2E">
      <w:pPr>
        <w:rPr>
          <w:rFonts w:asciiTheme="minorHAnsi" w:hAnsiTheme="minorHAnsi" w:cstheme="minorHAnsi"/>
          <w:bCs/>
        </w:rPr>
      </w:pPr>
    </w:p>
    <w:p w14:paraId="1C7872CC" w14:textId="4262F5F5" w:rsidR="003B13B5" w:rsidRPr="000658BE" w:rsidRDefault="00584C5C" w:rsidP="00E25C96">
      <w:pPr>
        <w:spacing w:after="160" w:line="259" w:lineRule="auto"/>
        <w:rPr>
          <w:rFonts w:ascii="Calibri" w:hAnsi="Calibri" w:cs="Calibri"/>
          <w:iCs/>
          <w:u w:val="single"/>
        </w:rPr>
      </w:pPr>
      <w:r w:rsidRPr="000658BE">
        <w:rPr>
          <w:rFonts w:ascii="Calibri" w:hAnsi="Calibri" w:cs="Calibri"/>
          <w:iCs/>
          <w:u w:val="single"/>
        </w:rPr>
        <w:t>Superintendent Interpretation &amp; Action</w:t>
      </w:r>
    </w:p>
    <w:p w14:paraId="69829B48" w14:textId="77777777" w:rsidR="00E25C96" w:rsidRPr="000658BE" w:rsidRDefault="00E25C96" w:rsidP="00E25C96">
      <w:pPr>
        <w:spacing w:after="160" w:line="259" w:lineRule="auto"/>
        <w:rPr>
          <w:rFonts w:ascii="Calibri" w:hAnsi="Calibri" w:cs="Calibri"/>
          <w:iCs/>
          <w:u w:val="single"/>
        </w:rPr>
      </w:pPr>
    </w:p>
    <w:tbl>
      <w:tblPr>
        <w:tblStyle w:val="TableGrid"/>
        <w:tblW w:w="0" w:type="auto"/>
        <w:tblLook w:val="04A0" w:firstRow="1" w:lastRow="0" w:firstColumn="1" w:lastColumn="0" w:noHBand="0" w:noVBand="1"/>
      </w:tblPr>
      <w:tblGrid>
        <w:gridCol w:w="10790"/>
      </w:tblGrid>
      <w:tr w:rsidR="003B13B5" w:rsidRPr="000658BE" w14:paraId="3472DE45" w14:textId="77777777" w:rsidTr="003B13B5">
        <w:tc>
          <w:tcPr>
            <w:tcW w:w="10790" w:type="dxa"/>
          </w:tcPr>
          <w:p w14:paraId="53D8C517" w14:textId="77777777" w:rsidR="003B13B5" w:rsidRPr="000658BE" w:rsidRDefault="003B13B5" w:rsidP="003B13B5">
            <w:pPr>
              <w:rPr>
                <w:rFonts w:asciiTheme="minorHAnsi" w:hAnsiTheme="minorHAnsi" w:cstheme="minorHAnsi"/>
                <w:b/>
              </w:rPr>
            </w:pPr>
            <w:r w:rsidRPr="000658BE">
              <w:rPr>
                <w:rFonts w:asciiTheme="minorHAnsi" w:hAnsiTheme="minorHAnsi" w:cstheme="minorHAnsi"/>
                <w:b/>
              </w:rPr>
              <w:t>RECOMMENED MOTION</w:t>
            </w:r>
          </w:p>
          <w:p w14:paraId="3E0DDA0C" w14:textId="7690CAD4" w:rsidR="003B13B5" w:rsidRPr="000658BE" w:rsidRDefault="003B13B5" w:rsidP="00E25C96">
            <w:pPr>
              <w:ind w:right="1440"/>
              <w:rPr>
                <w:rFonts w:asciiTheme="minorHAnsi" w:hAnsiTheme="minorHAnsi" w:cstheme="minorHAnsi"/>
              </w:rPr>
            </w:pPr>
            <w:r w:rsidRPr="000658BE">
              <w:rPr>
                <w:rFonts w:asciiTheme="minorHAnsi" w:hAnsiTheme="minorHAnsi" w:cstheme="minorHAnsi"/>
              </w:rPr>
              <w:t xml:space="preserve">That the </w:t>
            </w:r>
            <w:r w:rsidR="00584C5C" w:rsidRPr="000658BE">
              <w:rPr>
                <w:rFonts w:asciiTheme="minorHAnsi" w:hAnsiTheme="minorHAnsi" w:cstheme="minorHAnsi"/>
              </w:rPr>
              <w:t>Governance Process Policy</w:t>
            </w:r>
            <w:r w:rsidR="007F080A" w:rsidRPr="000658BE">
              <w:rPr>
                <w:rFonts w:asciiTheme="minorHAnsi" w:hAnsiTheme="minorHAnsi" w:cstheme="minorHAnsi"/>
              </w:rPr>
              <w:t xml:space="preserve"> </w:t>
            </w:r>
            <w:r w:rsidR="002D7B52" w:rsidRPr="000658BE">
              <w:rPr>
                <w:rFonts w:asciiTheme="minorHAnsi" w:hAnsiTheme="minorHAnsi" w:cstheme="minorHAnsi"/>
              </w:rPr>
              <w:t>0</w:t>
            </w:r>
            <w:r w:rsidR="00766E3C" w:rsidRPr="000658BE">
              <w:rPr>
                <w:rFonts w:asciiTheme="minorHAnsi" w:hAnsiTheme="minorHAnsi" w:cstheme="minorHAnsi"/>
              </w:rPr>
              <w:t>2</w:t>
            </w:r>
            <w:r w:rsidR="00872AD9" w:rsidRPr="000658BE">
              <w:rPr>
                <w:rFonts w:asciiTheme="minorHAnsi" w:hAnsiTheme="minorHAnsi" w:cstheme="minorHAnsi"/>
              </w:rPr>
              <w:t xml:space="preserve">: </w:t>
            </w:r>
            <w:r w:rsidR="00766E3C" w:rsidRPr="000658BE">
              <w:rPr>
                <w:rFonts w:asciiTheme="minorHAnsi" w:hAnsiTheme="minorHAnsi" w:cstheme="minorHAnsi"/>
              </w:rPr>
              <w:t xml:space="preserve">Governing Style </w:t>
            </w:r>
            <w:r w:rsidR="00872AD9" w:rsidRPr="000658BE">
              <w:rPr>
                <w:rFonts w:asciiTheme="minorHAnsi" w:hAnsiTheme="minorHAnsi" w:cstheme="minorHAnsi"/>
              </w:rPr>
              <w:t>be approved</w:t>
            </w:r>
            <w:r w:rsidR="008607FC" w:rsidRPr="000658BE">
              <w:rPr>
                <w:rFonts w:asciiTheme="minorHAnsi" w:hAnsiTheme="minorHAnsi" w:cstheme="minorHAnsi"/>
              </w:rPr>
              <w:t xml:space="preserve"> as in compliance</w:t>
            </w:r>
            <w:r w:rsidR="007F080A" w:rsidRPr="000658BE">
              <w:rPr>
                <w:rFonts w:asciiTheme="minorHAnsi" w:hAnsiTheme="minorHAnsi" w:cstheme="minorHAnsi"/>
              </w:rPr>
              <w:t>.</w:t>
            </w:r>
          </w:p>
        </w:tc>
      </w:tr>
    </w:tbl>
    <w:p w14:paraId="184D017B" w14:textId="77777777" w:rsidR="007F00FB" w:rsidRPr="000658BE" w:rsidRDefault="007F00FB" w:rsidP="00132C1B">
      <w:pPr>
        <w:rPr>
          <w:rFonts w:asciiTheme="minorHAnsi" w:hAnsiTheme="minorHAnsi" w:cstheme="minorHAnsi"/>
        </w:rPr>
      </w:pPr>
    </w:p>
    <w:sectPr w:rsidR="007F00FB" w:rsidRPr="000658BE"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E2B7" w14:textId="77777777" w:rsidR="00C76F51" w:rsidRDefault="00C76F51" w:rsidP="00CE30F6">
      <w:r>
        <w:separator/>
      </w:r>
    </w:p>
  </w:endnote>
  <w:endnote w:type="continuationSeparator" w:id="0">
    <w:p w14:paraId="3C8D8441" w14:textId="77777777" w:rsidR="00C76F51" w:rsidRDefault="00C76F51"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DAD1" w14:textId="77777777" w:rsidR="00C76F51" w:rsidRDefault="00C76F51" w:rsidP="00CE30F6">
      <w:r>
        <w:separator/>
      </w:r>
    </w:p>
  </w:footnote>
  <w:footnote w:type="continuationSeparator" w:id="0">
    <w:p w14:paraId="2BB8D9CE" w14:textId="77777777" w:rsidR="00C76F51" w:rsidRDefault="00C76F51"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18997922">
    <w:abstractNumId w:val="5"/>
  </w:num>
  <w:num w:numId="2" w16cid:durableId="2131782909">
    <w:abstractNumId w:val="3"/>
  </w:num>
  <w:num w:numId="3" w16cid:durableId="1659112765">
    <w:abstractNumId w:val="0"/>
  </w:num>
  <w:num w:numId="4" w16cid:durableId="1117456099">
    <w:abstractNumId w:val="1"/>
  </w:num>
  <w:num w:numId="5" w16cid:durableId="23363533">
    <w:abstractNumId w:val="2"/>
  </w:num>
  <w:num w:numId="6" w16cid:durableId="991254426">
    <w:abstractNumId w:val="6"/>
  </w:num>
  <w:num w:numId="7" w16cid:durableId="1285043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0658BE"/>
    <w:rsid w:val="00101A7B"/>
    <w:rsid w:val="0011428A"/>
    <w:rsid w:val="0011659F"/>
    <w:rsid w:val="00127798"/>
    <w:rsid w:val="00132C1B"/>
    <w:rsid w:val="00152676"/>
    <w:rsid w:val="0015431C"/>
    <w:rsid w:val="00156F7F"/>
    <w:rsid w:val="00184AF1"/>
    <w:rsid w:val="00190B35"/>
    <w:rsid w:val="001A5177"/>
    <w:rsid w:val="001D1EF6"/>
    <w:rsid w:val="00246A02"/>
    <w:rsid w:val="00246B9E"/>
    <w:rsid w:val="00264EB8"/>
    <w:rsid w:val="00277E92"/>
    <w:rsid w:val="002C1973"/>
    <w:rsid w:val="002D7B52"/>
    <w:rsid w:val="00347C87"/>
    <w:rsid w:val="00391137"/>
    <w:rsid w:val="003B13B5"/>
    <w:rsid w:val="003C12FF"/>
    <w:rsid w:val="003C3C9F"/>
    <w:rsid w:val="003F7597"/>
    <w:rsid w:val="0042281B"/>
    <w:rsid w:val="0043496F"/>
    <w:rsid w:val="0043539E"/>
    <w:rsid w:val="00444879"/>
    <w:rsid w:val="004520BD"/>
    <w:rsid w:val="00460C17"/>
    <w:rsid w:val="00496E24"/>
    <w:rsid w:val="004C63D0"/>
    <w:rsid w:val="004F52B4"/>
    <w:rsid w:val="00506DEC"/>
    <w:rsid w:val="00522881"/>
    <w:rsid w:val="0057244C"/>
    <w:rsid w:val="00573D6A"/>
    <w:rsid w:val="0058296F"/>
    <w:rsid w:val="00584C5C"/>
    <w:rsid w:val="005932A4"/>
    <w:rsid w:val="005B68D2"/>
    <w:rsid w:val="005E5189"/>
    <w:rsid w:val="005E71E7"/>
    <w:rsid w:val="005F40B5"/>
    <w:rsid w:val="00601C27"/>
    <w:rsid w:val="00624F07"/>
    <w:rsid w:val="00666732"/>
    <w:rsid w:val="006B1867"/>
    <w:rsid w:val="006D02CC"/>
    <w:rsid w:val="006F7568"/>
    <w:rsid w:val="00721EEF"/>
    <w:rsid w:val="0072668A"/>
    <w:rsid w:val="00766E3C"/>
    <w:rsid w:val="007C02F0"/>
    <w:rsid w:val="007E36BF"/>
    <w:rsid w:val="007F00FB"/>
    <w:rsid w:val="007F080A"/>
    <w:rsid w:val="00815CEE"/>
    <w:rsid w:val="008259E5"/>
    <w:rsid w:val="008607FC"/>
    <w:rsid w:val="00872AD9"/>
    <w:rsid w:val="008A4816"/>
    <w:rsid w:val="009037D1"/>
    <w:rsid w:val="009304E1"/>
    <w:rsid w:val="009461CE"/>
    <w:rsid w:val="00967C2E"/>
    <w:rsid w:val="00980E82"/>
    <w:rsid w:val="009A7DCE"/>
    <w:rsid w:val="00A102DA"/>
    <w:rsid w:val="00A24E58"/>
    <w:rsid w:val="00A453BF"/>
    <w:rsid w:val="00A539E1"/>
    <w:rsid w:val="00A53A80"/>
    <w:rsid w:val="00AE46A0"/>
    <w:rsid w:val="00B20A6A"/>
    <w:rsid w:val="00B305C6"/>
    <w:rsid w:val="00B62C1C"/>
    <w:rsid w:val="00B661A6"/>
    <w:rsid w:val="00BA43F8"/>
    <w:rsid w:val="00BB2E13"/>
    <w:rsid w:val="00BB7930"/>
    <w:rsid w:val="00BC3323"/>
    <w:rsid w:val="00BD4FB4"/>
    <w:rsid w:val="00C0062F"/>
    <w:rsid w:val="00C42784"/>
    <w:rsid w:val="00C7605D"/>
    <w:rsid w:val="00C76F51"/>
    <w:rsid w:val="00CA272B"/>
    <w:rsid w:val="00CE30F6"/>
    <w:rsid w:val="00CE725D"/>
    <w:rsid w:val="00D00897"/>
    <w:rsid w:val="00D469CC"/>
    <w:rsid w:val="00D841C4"/>
    <w:rsid w:val="00D92700"/>
    <w:rsid w:val="00DA07EF"/>
    <w:rsid w:val="00DC554A"/>
    <w:rsid w:val="00E07F6A"/>
    <w:rsid w:val="00E25C96"/>
    <w:rsid w:val="00E32BAB"/>
    <w:rsid w:val="00E53FDE"/>
    <w:rsid w:val="00E571C7"/>
    <w:rsid w:val="00E64FE4"/>
    <w:rsid w:val="00E71EF4"/>
    <w:rsid w:val="00E91611"/>
    <w:rsid w:val="00EA1209"/>
    <w:rsid w:val="00EA3332"/>
    <w:rsid w:val="00EB1726"/>
    <w:rsid w:val="00EB17E6"/>
    <w:rsid w:val="00EC75FF"/>
    <w:rsid w:val="00EE4235"/>
    <w:rsid w:val="00F53536"/>
    <w:rsid w:val="00F5635C"/>
    <w:rsid w:val="00F80D53"/>
    <w:rsid w:val="00F819DC"/>
    <w:rsid w:val="00F97D0E"/>
    <w:rsid w:val="00FC2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dcterms:created xsi:type="dcterms:W3CDTF">2022-11-18T04:39:00Z</dcterms:created>
  <dcterms:modified xsi:type="dcterms:W3CDTF">2022-11-18T04:39:00Z</dcterms:modified>
</cp:coreProperties>
</file>