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0C1306F8" w:rsidR="00CE30F6" w:rsidRPr="00CE30F6" w:rsidRDefault="00CA7CA7" w:rsidP="00F41560">
            <w:pPr>
              <w:rPr>
                <w:rFonts w:asciiTheme="minorHAnsi" w:hAnsiTheme="minorHAnsi" w:cstheme="minorHAnsi"/>
                <w:b/>
              </w:rPr>
            </w:pPr>
            <w:r>
              <w:rPr>
                <w:rFonts w:asciiTheme="minorHAnsi" w:hAnsiTheme="minorHAnsi" w:cstheme="minorHAnsi"/>
                <w:b/>
              </w:rPr>
              <w:t>March 16, 2022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3E057EFF" w:rsidR="00CE30F6" w:rsidRPr="00CE30F6" w:rsidRDefault="00F97D0E" w:rsidP="00F41560">
            <w:pPr>
              <w:rPr>
                <w:rFonts w:asciiTheme="minorHAnsi" w:hAnsiTheme="minorHAnsi" w:cstheme="minorHAnsi"/>
                <w:b/>
              </w:rPr>
            </w:pPr>
            <w:r>
              <w:rPr>
                <w:rFonts w:asciiTheme="minorHAnsi" w:hAnsiTheme="minorHAnsi" w:cstheme="minorHAnsi"/>
                <w:b/>
              </w:rPr>
              <w:t>GOVERNANCE PROCESS</w:t>
            </w:r>
            <w:r w:rsidR="00CA272B">
              <w:rPr>
                <w:rFonts w:asciiTheme="minorHAnsi" w:hAnsiTheme="minorHAnsi" w:cstheme="minorHAnsi"/>
                <w:b/>
              </w:rPr>
              <w:t xml:space="preserve"> </w:t>
            </w:r>
            <w:r w:rsidR="00EE4235">
              <w:rPr>
                <w:rFonts w:asciiTheme="minorHAnsi" w:hAnsiTheme="minorHAnsi" w:cstheme="minorHAnsi"/>
                <w:b/>
              </w:rPr>
              <w:t>(</w:t>
            </w:r>
            <w:r>
              <w:rPr>
                <w:rFonts w:asciiTheme="minorHAnsi" w:hAnsiTheme="minorHAnsi" w:cstheme="minorHAnsi"/>
                <w:b/>
              </w:rPr>
              <w:t>GP</w:t>
            </w:r>
            <w:r w:rsidR="00C42784">
              <w:rPr>
                <w:rFonts w:asciiTheme="minorHAnsi" w:hAnsiTheme="minorHAnsi" w:cstheme="minorHAnsi"/>
                <w:b/>
              </w:rPr>
              <w:t xml:space="preserve">) </w:t>
            </w:r>
            <w:r w:rsidR="00EE4235">
              <w:rPr>
                <w:rFonts w:asciiTheme="minorHAnsi" w:hAnsiTheme="minorHAnsi" w:cstheme="minorHAnsi"/>
                <w:b/>
              </w:rPr>
              <w:t>0</w:t>
            </w:r>
            <w:r w:rsidR="00344DAB">
              <w:rPr>
                <w:rFonts w:asciiTheme="minorHAnsi" w:hAnsiTheme="minorHAnsi" w:cstheme="minorHAnsi"/>
                <w:b/>
              </w:rPr>
              <w:t>6 BOARD COMMITTEE PRINCIPLES AND STRUCTURE</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92000F" w:rsidRDefault="004F52B4" w:rsidP="00F41560">
            <w:pPr>
              <w:rPr>
                <w:rFonts w:asciiTheme="minorHAnsi" w:hAnsiTheme="minorHAnsi" w:cstheme="minorHAnsi"/>
                <w:highlight w:val="yellow"/>
              </w:rPr>
            </w:pPr>
            <w:r w:rsidRPr="0092000F">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92000F" w:rsidRDefault="00CE30F6" w:rsidP="00F41560">
            <w:pPr>
              <w:rPr>
                <w:rFonts w:asciiTheme="minorHAnsi" w:hAnsiTheme="minorHAnsi" w:cstheme="minorHAnsi"/>
                <w:highlight w:val="yellow"/>
              </w:rPr>
            </w:pPr>
            <w:r w:rsidRPr="0092000F">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F97D0E"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F97D0E" w:rsidRDefault="00F97D0E" w:rsidP="00F41560">
            <w:pPr>
              <w:rPr>
                <w:rFonts w:asciiTheme="minorHAnsi" w:hAnsiTheme="minorHAnsi" w:cstheme="minorHAnsi"/>
              </w:rPr>
            </w:pPr>
            <w:r>
              <w:rPr>
                <w:rFonts w:asciiTheme="minorHAnsi" w:hAnsiTheme="minorHAnsi" w:cstheme="minorHAnsi"/>
                <w:b/>
              </w:rPr>
              <w:sym w:font="Wingdings" w:char="F0A8"/>
            </w:r>
            <w:r w:rsidR="00CE30F6" w:rsidRPr="00F97D0E">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CE30F6" w:rsidRDefault="00F97D0E" w:rsidP="00F41560">
            <w:pPr>
              <w:rPr>
                <w:rFonts w:asciiTheme="minorHAnsi" w:hAnsiTheme="minorHAnsi" w:cstheme="minorHAnsi"/>
              </w:rPr>
            </w:pPr>
            <w:r>
              <w:rPr>
                <w:rFonts w:asciiTheme="minorHAnsi" w:hAnsiTheme="minorHAnsi" w:cstheme="minorHAnsi"/>
                <w:highlight w:val="yellow"/>
              </w:rPr>
              <w:sym w:font="Wingdings" w:char="F078"/>
            </w:r>
            <w:r w:rsidR="00CE30F6" w:rsidRPr="00F97D0E">
              <w:rPr>
                <w:rFonts w:asciiTheme="minorHAnsi" w:hAnsiTheme="minorHAnsi" w:cstheme="minorHAnsi"/>
                <w:highlight w:val="yellow"/>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F97D0E" w:rsidRDefault="00CE30F6"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F97D0E" w:rsidRDefault="008259E5"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283EE845"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sidR="00F97D0E">
              <w:rPr>
                <w:rFonts w:asciiTheme="minorHAnsi" w:hAnsiTheme="minorHAnsi" w:cstheme="minorHAnsi"/>
              </w:rPr>
              <w:t>GP</w:t>
            </w:r>
            <w:r w:rsidR="002D7B52">
              <w:rPr>
                <w:rFonts w:asciiTheme="minorHAnsi" w:hAnsiTheme="minorHAnsi" w:cstheme="minorHAnsi"/>
              </w:rPr>
              <w:t xml:space="preserve"> 0</w:t>
            </w:r>
            <w:r w:rsidR="00344DAB">
              <w:rPr>
                <w:rFonts w:asciiTheme="minorHAnsi" w:hAnsiTheme="minorHAnsi" w:cstheme="minorHAnsi"/>
              </w:rPr>
              <w:t>6</w:t>
            </w:r>
            <w:r>
              <w:rPr>
                <w:rFonts w:asciiTheme="minorHAnsi" w:hAnsiTheme="minorHAnsi" w:cstheme="minorHAnsi"/>
              </w:rPr>
              <w:t xml:space="preserve">:  </w:t>
            </w:r>
            <w:r w:rsidR="00344DAB">
              <w:rPr>
                <w:rFonts w:asciiTheme="minorHAnsi" w:hAnsiTheme="minorHAnsi" w:cstheme="minorHAnsi"/>
              </w:rPr>
              <w:t>Board Committee Principles and Structure</w:t>
            </w:r>
          </w:p>
        </w:tc>
        <w:tc>
          <w:tcPr>
            <w:tcW w:w="3235" w:type="dxa"/>
          </w:tcPr>
          <w:p w14:paraId="6DDE290C" w14:textId="514B300C"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2D7B52">
              <w:rPr>
                <w:rFonts w:asciiTheme="minorHAnsi" w:hAnsiTheme="minorHAnsi" w:cstheme="minorHAnsi"/>
              </w:rPr>
              <w:t>0</w:t>
            </w:r>
            <w:r w:rsidR="00344DAB">
              <w:rPr>
                <w:rFonts w:asciiTheme="minorHAnsi" w:hAnsiTheme="minorHAnsi" w:cstheme="minorHAnsi"/>
              </w:rPr>
              <w:t>6</w:t>
            </w:r>
          </w:p>
        </w:tc>
      </w:tr>
      <w:tr w:rsidR="00967C2E" w14:paraId="0938BD7C" w14:textId="77777777" w:rsidTr="008F2434">
        <w:tc>
          <w:tcPr>
            <w:tcW w:w="10790" w:type="dxa"/>
            <w:gridSpan w:val="2"/>
          </w:tcPr>
          <w:p w14:paraId="7EC5E6EB" w14:textId="4EACD708"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58296F">
              <w:rPr>
                <w:rFonts w:asciiTheme="minorHAnsi" w:hAnsiTheme="minorHAnsi" w:cstheme="minorHAnsi"/>
              </w:rPr>
              <w:t>Governance Process</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6A09EE72" w:rsidR="00B20A6A" w:rsidRDefault="00B20A6A" w:rsidP="008F2434">
            <w:pPr>
              <w:rPr>
                <w:rFonts w:asciiTheme="minorHAnsi" w:hAnsiTheme="minorHAnsi" w:cstheme="minorHAnsi"/>
              </w:rPr>
            </w:pPr>
            <w:r>
              <w:rPr>
                <w:rFonts w:asciiTheme="minorHAnsi" w:hAnsiTheme="minorHAnsi" w:cstheme="minorHAnsi"/>
              </w:rPr>
              <w:t xml:space="preserve">Amended </w:t>
            </w:r>
            <w:r w:rsidR="00344DAB">
              <w:rPr>
                <w:rFonts w:asciiTheme="minorHAnsi" w:hAnsiTheme="minorHAnsi" w:cstheme="minorHAnsi"/>
              </w:rPr>
              <w:t>February</w:t>
            </w:r>
            <w:r>
              <w:rPr>
                <w:rFonts w:asciiTheme="minorHAnsi" w:hAnsiTheme="minorHAnsi" w:cstheme="minorHAnsi"/>
              </w:rPr>
              <w:t xml:space="preserve"> 200</w:t>
            </w:r>
            <w:r w:rsidR="00BE0C61">
              <w:rPr>
                <w:rFonts w:asciiTheme="minorHAnsi" w:hAnsiTheme="minorHAnsi" w:cstheme="minorHAnsi"/>
              </w:rPr>
              <w:t>6</w:t>
            </w:r>
            <w:r>
              <w:rPr>
                <w:rFonts w:asciiTheme="minorHAnsi" w:hAnsiTheme="minorHAnsi" w:cstheme="minorHAnsi"/>
              </w:rPr>
              <w:t xml:space="preserve">, </w:t>
            </w:r>
            <w:r w:rsidR="0058296F">
              <w:rPr>
                <w:rFonts w:asciiTheme="minorHAnsi" w:hAnsiTheme="minorHAnsi" w:cstheme="minorHAnsi"/>
              </w:rPr>
              <w:t>June</w:t>
            </w:r>
            <w:r w:rsidR="00A539E1">
              <w:rPr>
                <w:rFonts w:asciiTheme="minorHAnsi" w:hAnsiTheme="minorHAnsi" w:cstheme="minorHAnsi"/>
              </w:rPr>
              <w:t xml:space="preserve"> 2019</w:t>
            </w:r>
          </w:p>
          <w:p w14:paraId="60C9F81D" w14:textId="6B03B53B"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344DAB">
              <w:rPr>
                <w:rFonts w:asciiTheme="minorHAnsi" w:hAnsiTheme="minorHAnsi" w:cstheme="minorHAnsi"/>
              </w:rPr>
              <w:t>March</w:t>
            </w:r>
            <w:r>
              <w:rPr>
                <w:rFonts w:asciiTheme="minorHAnsi" w:hAnsiTheme="minorHAnsi" w:cstheme="minorHAnsi"/>
              </w:rPr>
              <w:t xml:space="preserve"> 202</w:t>
            </w:r>
            <w:r w:rsidR="00DA16AB">
              <w:rPr>
                <w:rFonts w:asciiTheme="minorHAnsi" w:hAnsiTheme="minorHAnsi" w:cstheme="minorHAnsi"/>
              </w:rPr>
              <w:t>2</w:t>
            </w:r>
          </w:p>
        </w:tc>
      </w:tr>
      <w:tr w:rsidR="00967C2E" w14:paraId="45A6081C" w14:textId="77777777" w:rsidTr="008F2434">
        <w:tc>
          <w:tcPr>
            <w:tcW w:w="10790" w:type="dxa"/>
            <w:gridSpan w:val="2"/>
          </w:tcPr>
          <w:p w14:paraId="10B33286" w14:textId="66F55C84"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sidR="004C446D">
              <w:rPr>
                <w:rFonts w:asciiTheme="minorHAnsi" w:hAnsiTheme="minorHAnsi" w:cstheme="minorHAnsi"/>
              </w:rPr>
              <w:t xml:space="preserve">Two </w:t>
            </w:r>
            <w:r>
              <w:rPr>
                <w:rFonts w:asciiTheme="minorHAnsi" w:hAnsiTheme="minorHAnsi" w:cstheme="minorHAnsi"/>
              </w:rPr>
              <w:t>Year</w:t>
            </w:r>
            <w:r w:rsidR="004C446D">
              <w:rPr>
                <w:rFonts w:asciiTheme="minorHAnsi" w:hAnsiTheme="minorHAnsi" w:cstheme="minorHAnsi"/>
              </w:rPr>
              <w:t>s</w:t>
            </w:r>
            <w:r w:rsidR="00C53DE2">
              <w:rPr>
                <w:rFonts w:asciiTheme="minorHAnsi" w:hAnsiTheme="minorHAnsi" w:cstheme="minorHAnsi"/>
              </w:rPr>
              <w:t xml:space="preserve"> in March</w:t>
            </w:r>
          </w:p>
        </w:tc>
      </w:tr>
      <w:tr w:rsidR="00967C2E" w14:paraId="3356683F" w14:textId="77777777" w:rsidTr="008F2434">
        <w:tc>
          <w:tcPr>
            <w:tcW w:w="10790" w:type="dxa"/>
            <w:gridSpan w:val="2"/>
          </w:tcPr>
          <w:p w14:paraId="0D91F450" w14:textId="11703CA1"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w:t>
            </w:r>
            <w:r w:rsidR="004C446D">
              <w:rPr>
                <w:rFonts w:asciiTheme="minorHAnsi" w:hAnsiTheme="minorHAnsi" w:cstheme="minorHAnsi"/>
              </w:rPr>
              <w:t xml:space="preserve">Year </w:t>
            </w:r>
            <w:r w:rsidR="00F83D43">
              <w:rPr>
                <w:rFonts w:asciiTheme="minorHAnsi" w:hAnsiTheme="minorHAnsi" w:cstheme="minorHAnsi"/>
              </w:rPr>
              <w:t>Two</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1DD05C17" w:rsidR="00967C2E" w:rsidRPr="00C53DE2" w:rsidRDefault="002D7B52" w:rsidP="00967C2E">
      <w:pPr>
        <w:rPr>
          <w:rFonts w:asciiTheme="minorHAnsi" w:hAnsiTheme="minorHAnsi" w:cstheme="minorHAnsi"/>
          <w:bCs/>
        </w:rPr>
      </w:pPr>
      <w:r w:rsidRPr="00C53DE2">
        <w:rPr>
          <w:rFonts w:asciiTheme="minorHAnsi" w:hAnsiTheme="minorHAnsi" w:cstheme="minorHAnsi"/>
          <w:bCs/>
        </w:rPr>
        <w:t>BOOK POLICY GOVERNANCE POLICIES (</w:t>
      </w:r>
      <w:r w:rsidR="0058296F" w:rsidRPr="00C53DE2">
        <w:rPr>
          <w:rFonts w:asciiTheme="minorHAnsi" w:hAnsiTheme="minorHAnsi" w:cstheme="minorHAnsi"/>
          <w:bCs/>
        </w:rPr>
        <w:t>GP</w:t>
      </w:r>
      <w:r w:rsidRPr="00C53DE2">
        <w:rPr>
          <w:rFonts w:asciiTheme="minorHAnsi" w:hAnsiTheme="minorHAnsi" w:cstheme="minorHAnsi"/>
          <w:bCs/>
        </w:rPr>
        <w:t>) 0</w:t>
      </w:r>
      <w:r w:rsidR="00344DAB" w:rsidRPr="00C53DE2">
        <w:rPr>
          <w:rFonts w:asciiTheme="minorHAnsi" w:hAnsiTheme="minorHAnsi" w:cstheme="minorHAnsi"/>
          <w:bCs/>
        </w:rPr>
        <w:t>6</w:t>
      </w:r>
      <w:r w:rsidR="00967C2E" w:rsidRPr="00C53DE2">
        <w:rPr>
          <w:rFonts w:asciiTheme="minorHAnsi" w:hAnsiTheme="minorHAnsi" w:cstheme="minorHAnsi"/>
          <w:bCs/>
        </w:rPr>
        <w:t xml:space="preserve">:  </w:t>
      </w:r>
      <w:r w:rsidR="00344DAB" w:rsidRPr="00C53DE2">
        <w:rPr>
          <w:rFonts w:asciiTheme="minorHAnsi" w:hAnsiTheme="minorHAnsi" w:cstheme="minorHAnsi"/>
          <w:bCs/>
        </w:rPr>
        <w:t>BOARD COMMITTEE PRINCIPLES AND STRUCTURE</w:t>
      </w:r>
    </w:p>
    <w:p w14:paraId="183B3C3D" w14:textId="77777777" w:rsidR="00967C2E" w:rsidRPr="00C53DE2" w:rsidRDefault="00967C2E" w:rsidP="00967C2E">
      <w:pPr>
        <w:rPr>
          <w:rFonts w:asciiTheme="minorHAnsi" w:hAnsiTheme="minorHAnsi" w:cstheme="minorHAnsi"/>
          <w:bCs/>
        </w:rPr>
      </w:pPr>
    </w:p>
    <w:p w14:paraId="365C7D74" w14:textId="77777777" w:rsidR="00344DAB" w:rsidRPr="00C53DE2" w:rsidRDefault="00344DAB" w:rsidP="00344DAB">
      <w:pPr>
        <w:spacing w:after="160" w:line="259" w:lineRule="auto"/>
        <w:rPr>
          <w:rFonts w:ascii="Calibri" w:eastAsia="Calibri" w:hAnsi="Calibri"/>
        </w:rPr>
      </w:pPr>
      <w:r w:rsidRPr="00C53DE2">
        <w:rPr>
          <w:rFonts w:ascii="Calibri" w:eastAsia="Calibri" w:hAnsi="Calibri"/>
        </w:rPr>
        <w:t>Board committees, when used, will be used to support the work of the Board and to reinforce the wholeness of the Board’s job, and never to interfere with delegation of authority from the Board to the Superintendent.</w:t>
      </w:r>
    </w:p>
    <w:p w14:paraId="1545A429" w14:textId="77777777" w:rsidR="00344DAB" w:rsidRPr="00C53DE2" w:rsidRDefault="00344DAB" w:rsidP="00344DAB">
      <w:pPr>
        <w:spacing w:after="160" w:line="259" w:lineRule="auto"/>
        <w:rPr>
          <w:rFonts w:ascii="Calibri" w:eastAsia="Calibri" w:hAnsi="Calibri"/>
        </w:rPr>
      </w:pPr>
    </w:p>
    <w:p w14:paraId="2BB76448" w14:textId="77777777" w:rsidR="00344DAB" w:rsidRPr="00C53DE2" w:rsidRDefault="00344DAB" w:rsidP="00344DAB">
      <w:pPr>
        <w:spacing w:after="160" w:line="259" w:lineRule="auto"/>
        <w:rPr>
          <w:rFonts w:ascii="Calibri" w:eastAsia="Calibri" w:hAnsi="Calibri"/>
        </w:rPr>
      </w:pPr>
      <w:r w:rsidRPr="00C53DE2">
        <w:rPr>
          <w:rFonts w:ascii="Calibri" w:eastAsia="Calibri" w:hAnsi="Calibri"/>
        </w:rPr>
        <w:t>Accordingly:</w:t>
      </w:r>
    </w:p>
    <w:p w14:paraId="358ED827" w14:textId="1C2165B5"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Board committees are to assist the Board to do its job, not to direct or advise the staff. Committees ordinarily will assist the Board by preparing policy alternatives implications, or recommendations for Board consideration. In keeping with the Board’s broader focus, Board committees will not have direct dealings with staff operations unless specifically given that authority by the Board.</w:t>
      </w:r>
    </w:p>
    <w:p w14:paraId="44071A46" w14:textId="77777777" w:rsidR="00344DAB" w:rsidRPr="00C53DE2" w:rsidRDefault="00344DAB" w:rsidP="00344DAB">
      <w:pPr>
        <w:spacing w:after="160" w:line="259" w:lineRule="auto"/>
        <w:ind w:left="720"/>
        <w:contextualSpacing/>
        <w:rPr>
          <w:rFonts w:ascii="Calibri" w:eastAsia="Calibri" w:hAnsi="Calibri"/>
        </w:rPr>
      </w:pPr>
    </w:p>
    <w:p w14:paraId="5F87BB8E" w14:textId="77777777"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Board committees may not speak or act for the Board except when formally given such authority by the Board for specific and time-limited purposes. Expectations and authority will be stated carefully by the Board to assure that committee authority will not conflict with authority delegated to the Superintendent.</w:t>
      </w:r>
    </w:p>
    <w:p w14:paraId="75332567" w14:textId="77777777" w:rsidR="00344DAB" w:rsidRPr="00C53DE2" w:rsidRDefault="00344DAB" w:rsidP="00344DAB">
      <w:pPr>
        <w:spacing w:after="160" w:line="259" w:lineRule="auto"/>
        <w:ind w:left="720"/>
        <w:contextualSpacing/>
        <w:rPr>
          <w:rFonts w:ascii="Calibri" w:eastAsia="Calibri" w:hAnsi="Calibri"/>
        </w:rPr>
      </w:pPr>
    </w:p>
    <w:p w14:paraId="462ED30F" w14:textId="77777777"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Board committees cannot exercise authority over the Superintendent or staff. Because the Superintendent works for the full Board, any direction to the Superintendent related to a committee recommendation must come from the full Board.</w:t>
      </w:r>
    </w:p>
    <w:p w14:paraId="0D63BCFF" w14:textId="77777777" w:rsidR="00344DAB" w:rsidRPr="00C53DE2" w:rsidRDefault="00344DAB" w:rsidP="00344DAB">
      <w:pPr>
        <w:spacing w:after="160" w:line="259" w:lineRule="auto"/>
        <w:ind w:left="720"/>
        <w:contextualSpacing/>
        <w:rPr>
          <w:rFonts w:ascii="Calibri" w:eastAsia="Calibri" w:hAnsi="Calibri"/>
        </w:rPr>
      </w:pPr>
    </w:p>
    <w:p w14:paraId="46562E3F" w14:textId="77777777"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Board committees are expected to avoid over-identification with organizational parts rather than the whole. Therefore, a Board committee which has helped the Board create policy will not be used to monitor organizational performance on that same subject.</w:t>
      </w:r>
    </w:p>
    <w:p w14:paraId="7338F5C9" w14:textId="77777777" w:rsidR="00344DAB" w:rsidRPr="00C53DE2" w:rsidRDefault="00344DAB" w:rsidP="00344DAB">
      <w:pPr>
        <w:spacing w:after="160" w:line="259" w:lineRule="auto"/>
        <w:ind w:left="720"/>
        <w:contextualSpacing/>
        <w:rPr>
          <w:rFonts w:ascii="Calibri" w:eastAsia="Calibri" w:hAnsi="Calibri"/>
        </w:rPr>
      </w:pPr>
    </w:p>
    <w:p w14:paraId="6B3A041F" w14:textId="0061819A"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 xml:space="preserve">This policy applies only to committees which are formed by Board action, </w:t>
      </w:r>
      <w:proofErr w:type="gramStart"/>
      <w:r w:rsidRPr="00C53DE2">
        <w:rPr>
          <w:rFonts w:ascii="Calibri" w:eastAsia="Calibri" w:hAnsi="Calibri"/>
        </w:rPr>
        <w:t>whether or not</w:t>
      </w:r>
      <w:proofErr w:type="gramEnd"/>
      <w:r w:rsidRPr="00C53DE2">
        <w:rPr>
          <w:rFonts w:ascii="Calibri" w:eastAsia="Calibri" w:hAnsi="Calibri"/>
        </w:rPr>
        <w:t xml:space="preserve"> the committees include Board members. It does not apply to committees formed under the authority of the Superintendent.</w:t>
      </w:r>
    </w:p>
    <w:p w14:paraId="37B597FC" w14:textId="77777777" w:rsidR="00344DAB" w:rsidRPr="00C53DE2" w:rsidRDefault="00344DAB" w:rsidP="00344DAB">
      <w:pPr>
        <w:spacing w:after="160" w:line="259" w:lineRule="auto"/>
        <w:contextualSpacing/>
        <w:rPr>
          <w:rFonts w:ascii="Calibri" w:eastAsia="Calibri" w:hAnsi="Calibri"/>
        </w:rPr>
      </w:pPr>
    </w:p>
    <w:p w14:paraId="2BBD0CE1" w14:textId="77777777"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A committee ceases to exist as soon as its task is complete.</w:t>
      </w:r>
    </w:p>
    <w:p w14:paraId="0EA3D1B5" w14:textId="77777777" w:rsidR="00344DAB" w:rsidRPr="00C53DE2" w:rsidRDefault="00344DAB" w:rsidP="00344DAB">
      <w:pPr>
        <w:spacing w:after="160" w:line="259" w:lineRule="auto"/>
        <w:ind w:left="720"/>
        <w:contextualSpacing/>
        <w:rPr>
          <w:rFonts w:ascii="Calibri" w:eastAsia="Calibri" w:hAnsi="Calibri"/>
        </w:rPr>
      </w:pPr>
    </w:p>
    <w:p w14:paraId="3DB0C88C" w14:textId="7C188783" w:rsidR="00344DAB" w:rsidRPr="00C53DE2" w:rsidRDefault="00344DAB" w:rsidP="00344DAB">
      <w:pPr>
        <w:numPr>
          <w:ilvl w:val="0"/>
          <w:numId w:val="9"/>
        </w:numPr>
        <w:spacing w:after="160" w:line="259" w:lineRule="auto"/>
        <w:contextualSpacing/>
        <w:rPr>
          <w:rFonts w:ascii="Calibri" w:eastAsia="Calibri" w:hAnsi="Calibri"/>
        </w:rPr>
      </w:pPr>
      <w:r w:rsidRPr="00C53DE2">
        <w:rPr>
          <w:rFonts w:ascii="Calibri" w:eastAsia="Calibri" w:hAnsi="Calibri"/>
        </w:rPr>
        <w:t xml:space="preserve">Board committee structures shall </w:t>
      </w:r>
      <w:r w:rsidR="00DA16AB" w:rsidRPr="00C53DE2">
        <w:rPr>
          <w:rFonts w:ascii="Calibri" w:eastAsia="Calibri" w:hAnsi="Calibri"/>
        </w:rPr>
        <w:t>include</w:t>
      </w:r>
      <w:r w:rsidRPr="00C53DE2">
        <w:rPr>
          <w:rFonts w:ascii="Calibri" w:eastAsia="Calibri" w:hAnsi="Calibri"/>
        </w:rPr>
        <w:t xml:space="preserve"> Name, Purpose/Charge, Membership, Reporting </w:t>
      </w:r>
      <w:proofErr w:type="gramStart"/>
      <w:r w:rsidRPr="00C53DE2">
        <w:rPr>
          <w:rFonts w:ascii="Calibri" w:eastAsia="Calibri" w:hAnsi="Calibri"/>
        </w:rPr>
        <w:t>Schedule</w:t>
      </w:r>
      <w:proofErr w:type="gramEnd"/>
      <w:r w:rsidRPr="00C53DE2">
        <w:rPr>
          <w:rFonts w:ascii="Calibri" w:eastAsia="Calibri" w:hAnsi="Calibri"/>
        </w:rPr>
        <w:t xml:space="preserve"> and Term.</w:t>
      </w:r>
    </w:p>
    <w:p w14:paraId="420A7AC0" w14:textId="77777777" w:rsidR="00344DAB" w:rsidRPr="00C53DE2" w:rsidRDefault="00344DAB" w:rsidP="00344DAB">
      <w:pPr>
        <w:spacing w:after="160" w:line="259" w:lineRule="auto"/>
        <w:rPr>
          <w:rFonts w:ascii="Calibri" w:eastAsia="Calibri" w:hAnsi="Calibri"/>
        </w:rPr>
      </w:pPr>
    </w:p>
    <w:p w14:paraId="603153A1" w14:textId="3DD4128F" w:rsidR="00E71EF4" w:rsidRPr="00C53DE2" w:rsidRDefault="00584C5C" w:rsidP="00FC2A0A">
      <w:pPr>
        <w:spacing w:after="160" w:line="259" w:lineRule="auto"/>
        <w:rPr>
          <w:rFonts w:ascii="Calibri" w:hAnsi="Calibri" w:cs="Calibri"/>
          <w:iCs/>
          <w:u w:val="single"/>
        </w:rPr>
      </w:pPr>
      <w:r w:rsidRPr="00C53DE2">
        <w:rPr>
          <w:rFonts w:ascii="Calibri" w:hAnsi="Calibri" w:cs="Calibri"/>
          <w:iCs/>
          <w:u w:val="single"/>
        </w:rPr>
        <w:t>Superintendent Interpretation &amp; Action</w:t>
      </w:r>
    </w:p>
    <w:p w14:paraId="1C7872CC" w14:textId="558F26E3" w:rsidR="003B13B5" w:rsidRPr="00C53DE2"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rsidRPr="00C53DE2" w14:paraId="3472DE45" w14:textId="77777777" w:rsidTr="003B13B5">
        <w:tc>
          <w:tcPr>
            <w:tcW w:w="10790" w:type="dxa"/>
          </w:tcPr>
          <w:p w14:paraId="53D8C517" w14:textId="77777777" w:rsidR="003B13B5" w:rsidRPr="00C53DE2" w:rsidRDefault="003B13B5" w:rsidP="003B13B5">
            <w:pPr>
              <w:rPr>
                <w:rFonts w:asciiTheme="minorHAnsi" w:hAnsiTheme="minorHAnsi" w:cstheme="minorHAnsi"/>
                <w:b/>
              </w:rPr>
            </w:pPr>
            <w:r w:rsidRPr="00C53DE2">
              <w:rPr>
                <w:rFonts w:asciiTheme="minorHAnsi" w:hAnsiTheme="minorHAnsi" w:cstheme="minorHAnsi"/>
                <w:b/>
              </w:rPr>
              <w:t>RECOMMENED MOTION</w:t>
            </w:r>
          </w:p>
          <w:p w14:paraId="3E0DDA0C" w14:textId="3F4EED39" w:rsidR="003B13B5" w:rsidRPr="00C53DE2" w:rsidRDefault="003B13B5" w:rsidP="003B13B5">
            <w:pPr>
              <w:rPr>
                <w:rFonts w:asciiTheme="minorHAnsi" w:hAnsiTheme="minorHAnsi" w:cstheme="minorHAnsi"/>
              </w:rPr>
            </w:pPr>
            <w:r w:rsidRPr="00C53DE2">
              <w:rPr>
                <w:rFonts w:asciiTheme="minorHAnsi" w:hAnsiTheme="minorHAnsi" w:cstheme="minorHAnsi"/>
              </w:rPr>
              <w:t xml:space="preserve">That the </w:t>
            </w:r>
            <w:r w:rsidR="00584C5C" w:rsidRPr="00C53DE2">
              <w:rPr>
                <w:rFonts w:asciiTheme="minorHAnsi" w:hAnsiTheme="minorHAnsi" w:cstheme="minorHAnsi"/>
              </w:rPr>
              <w:t>Governance Process Policy</w:t>
            </w:r>
            <w:r w:rsidR="007F080A" w:rsidRPr="00C53DE2">
              <w:rPr>
                <w:rFonts w:asciiTheme="minorHAnsi" w:hAnsiTheme="minorHAnsi" w:cstheme="minorHAnsi"/>
              </w:rPr>
              <w:t xml:space="preserve"> </w:t>
            </w:r>
            <w:r w:rsidR="002D7B52" w:rsidRPr="00C53DE2">
              <w:rPr>
                <w:rFonts w:asciiTheme="minorHAnsi" w:hAnsiTheme="minorHAnsi" w:cstheme="minorHAnsi"/>
              </w:rPr>
              <w:t>0</w:t>
            </w:r>
            <w:r w:rsidR="00344DAB" w:rsidRPr="00C53DE2">
              <w:rPr>
                <w:rFonts w:asciiTheme="minorHAnsi" w:hAnsiTheme="minorHAnsi" w:cstheme="minorHAnsi"/>
              </w:rPr>
              <w:t>6</w:t>
            </w:r>
            <w:r w:rsidR="00872AD9" w:rsidRPr="00C53DE2">
              <w:rPr>
                <w:rFonts w:asciiTheme="minorHAnsi" w:hAnsiTheme="minorHAnsi" w:cstheme="minorHAnsi"/>
              </w:rPr>
              <w:t xml:space="preserve">: </w:t>
            </w:r>
            <w:r w:rsidR="00344DAB" w:rsidRPr="00C53DE2">
              <w:rPr>
                <w:rFonts w:asciiTheme="minorHAnsi" w:hAnsiTheme="minorHAnsi" w:cstheme="minorHAnsi"/>
              </w:rPr>
              <w:t xml:space="preserve">Board Committee Principles and Structure </w:t>
            </w:r>
            <w:r w:rsidR="00872AD9" w:rsidRPr="00C53DE2">
              <w:rPr>
                <w:rFonts w:asciiTheme="minorHAnsi" w:hAnsiTheme="minorHAnsi" w:cstheme="minorHAnsi"/>
              </w:rPr>
              <w:t>be approved</w:t>
            </w:r>
            <w:r w:rsidR="008607FC" w:rsidRPr="00C53DE2">
              <w:rPr>
                <w:rFonts w:asciiTheme="minorHAnsi" w:hAnsiTheme="minorHAnsi" w:cstheme="minorHAnsi"/>
              </w:rPr>
              <w:t xml:space="preserve"> as in compliance</w:t>
            </w:r>
            <w:r w:rsidR="007F080A" w:rsidRPr="00C53DE2">
              <w:rPr>
                <w:rFonts w:asciiTheme="minorHAnsi" w:hAnsiTheme="minorHAnsi" w:cstheme="minorHAnsi"/>
              </w:rPr>
              <w:t>.</w:t>
            </w:r>
          </w:p>
        </w:tc>
      </w:tr>
    </w:tbl>
    <w:p w14:paraId="184D017B" w14:textId="77777777" w:rsidR="007F00FB" w:rsidRPr="00C53DE2" w:rsidRDefault="007F00FB" w:rsidP="00132C1B">
      <w:pPr>
        <w:rPr>
          <w:rFonts w:asciiTheme="minorHAnsi" w:hAnsiTheme="minorHAnsi" w:cstheme="minorHAnsi"/>
        </w:rPr>
      </w:pPr>
    </w:p>
    <w:sectPr w:rsidR="007F00FB" w:rsidRPr="00C53DE2"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49D" w14:textId="77777777" w:rsidR="004F24A4" w:rsidRDefault="004F24A4" w:rsidP="00CE30F6">
      <w:r>
        <w:separator/>
      </w:r>
    </w:p>
  </w:endnote>
  <w:endnote w:type="continuationSeparator" w:id="0">
    <w:p w14:paraId="7EE5D553" w14:textId="77777777" w:rsidR="004F24A4" w:rsidRDefault="004F24A4"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AFFB" w14:textId="77777777" w:rsidR="004F24A4" w:rsidRDefault="004F24A4" w:rsidP="00CE30F6">
      <w:r>
        <w:separator/>
      </w:r>
    </w:p>
  </w:footnote>
  <w:footnote w:type="continuationSeparator" w:id="0">
    <w:p w14:paraId="2CFACF32" w14:textId="77777777" w:rsidR="004F24A4" w:rsidRDefault="004F24A4"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121625"/>
    <w:multiLevelType w:val="hybridMultilevel"/>
    <w:tmpl w:val="4246C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D937DF7"/>
    <w:multiLevelType w:val="hybridMultilevel"/>
    <w:tmpl w:val="797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7697">
    <w:abstractNumId w:val="6"/>
  </w:num>
  <w:num w:numId="2" w16cid:durableId="37896648">
    <w:abstractNumId w:val="4"/>
  </w:num>
  <w:num w:numId="3" w16cid:durableId="820583888">
    <w:abstractNumId w:val="0"/>
  </w:num>
  <w:num w:numId="4" w16cid:durableId="382679133">
    <w:abstractNumId w:val="1"/>
  </w:num>
  <w:num w:numId="5" w16cid:durableId="1237860983">
    <w:abstractNumId w:val="3"/>
  </w:num>
  <w:num w:numId="6" w16cid:durableId="1829201804">
    <w:abstractNumId w:val="7"/>
  </w:num>
  <w:num w:numId="7" w16cid:durableId="256450954">
    <w:abstractNumId w:val="5"/>
  </w:num>
  <w:num w:numId="8" w16cid:durableId="457070851">
    <w:abstractNumId w:val="2"/>
  </w:num>
  <w:num w:numId="9" w16cid:durableId="270818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101A7B"/>
    <w:rsid w:val="0011428A"/>
    <w:rsid w:val="0011659F"/>
    <w:rsid w:val="00127798"/>
    <w:rsid w:val="00132C1B"/>
    <w:rsid w:val="00152676"/>
    <w:rsid w:val="0015431C"/>
    <w:rsid w:val="00156F7F"/>
    <w:rsid w:val="00184AF1"/>
    <w:rsid w:val="00190B35"/>
    <w:rsid w:val="001A5177"/>
    <w:rsid w:val="001D1EF6"/>
    <w:rsid w:val="00246A02"/>
    <w:rsid w:val="00246B9E"/>
    <w:rsid w:val="00264EB8"/>
    <w:rsid w:val="00277E92"/>
    <w:rsid w:val="002C1973"/>
    <w:rsid w:val="002D7B52"/>
    <w:rsid w:val="00344DAB"/>
    <w:rsid w:val="00391137"/>
    <w:rsid w:val="003B13B5"/>
    <w:rsid w:val="003C12FF"/>
    <w:rsid w:val="003C3C9F"/>
    <w:rsid w:val="003F7597"/>
    <w:rsid w:val="0042281B"/>
    <w:rsid w:val="0043496F"/>
    <w:rsid w:val="0043539E"/>
    <w:rsid w:val="00444879"/>
    <w:rsid w:val="004520BD"/>
    <w:rsid w:val="00460C17"/>
    <w:rsid w:val="00496E24"/>
    <w:rsid w:val="004C446D"/>
    <w:rsid w:val="004C63D0"/>
    <w:rsid w:val="004F24A4"/>
    <w:rsid w:val="004F52B4"/>
    <w:rsid w:val="00506DEC"/>
    <w:rsid w:val="00522881"/>
    <w:rsid w:val="00541D8C"/>
    <w:rsid w:val="0057244C"/>
    <w:rsid w:val="00573D6A"/>
    <w:rsid w:val="0058296F"/>
    <w:rsid w:val="00584C5C"/>
    <w:rsid w:val="005932A4"/>
    <w:rsid w:val="005B68D2"/>
    <w:rsid w:val="005E5189"/>
    <w:rsid w:val="005E71E7"/>
    <w:rsid w:val="00601C27"/>
    <w:rsid w:val="00624F07"/>
    <w:rsid w:val="00666732"/>
    <w:rsid w:val="006D02CC"/>
    <w:rsid w:val="006F7568"/>
    <w:rsid w:val="00721EEF"/>
    <w:rsid w:val="007E36BF"/>
    <w:rsid w:val="007F00FB"/>
    <w:rsid w:val="007F080A"/>
    <w:rsid w:val="00815CEE"/>
    <w:rsid w:val="008259E5"/>
    <w:rsid w:val="008607FC"/>
    <w:rsid w:val="00872AD9"/>
    <w:rsid w:val="008A4816"/>
    <w:rsid w:val="009037D1"/>
    <w:rsid w:val="0092000F"/>
    <w:rsid w:val="009304E1"/>
    <w:rsid w:val="009461CE"/>
    <w:rsid w:val="00967C2E"/>
    <w:rsid w:val="00980236"/>
    <w:rsid w:val="00980E82"/>
    <w:rsid w:val="009A7DCE"/>
    <w:rsid w:val="00A102DA"/>
    <w:rsid w:val="00A24E58"/>
    <w:rsid w:val="00A453BF"/>
    <w:rsid w:val="00A539E1"/>
    <w:rsid w:val="00A53A80"/>
    <w:rsid w:val="00AE46A0"/>
    <w:rsid w:val="00B20A6A"/>
    <w:rsid w:val="00B305C6"/>
    <w:rsid w:val="00B62C1C"/>
    <w:rsid w:val="00B661A6"/>
    <w:rsid w:val="00BA43F8"/>
    <w:rsid w:val="00BB2E13"/>
    <w:rsid w:val="00BB7930"/>
    <w:rsid w:val="00BC3323"/>
    <w:rsid w:val="00BD4FB4"/>
    <w:rsid w:val="00BE0C61"/>
    <w:rsid w:val="00C0062F"/>
    <w:rsid w:val="00C42784"/>
    <w:rsid w:val="00C53DE2"/>
    <w:rsid w:val="00C609AA"/>
    <w:rsid w:val="00C7605D"/>
    <w:rsid w:val="00CA272B"/>
    <w:rsid w:val="00CA7CA7"/>
    <w:rsid w:val="00CE30F6"/>
    <w:rsid w:val="00D00897"/>
    <w:rsid w:val="00D469CC"/>
    <w:rsid w:val="00D841C4"/>
    <w:rsid w:val="00D92700"/>
    <w:rsid w:val="00DA07EF"/>
    <w:rsid w:val="00DA16AB"/>
    <w:rsid w:val="00DC554A"/>
    <w:rsid w:val="00E07F6A"/>
    <w:rsid w:val="00E20663"/>
    <w:rsid w:val="00E32BAB"/>
    <w:rsid w:val="00E53FDE"/>
    <w:rsid w:val="00E571C7"/>
    <w:rsid w:val="00E64FE4"/>
    <w:rsid w:val="00E71EF4"/>
    <w:rsid w:val="00E84E69"/>
    <w:rsid w:val="00E91611"/>
    <w:rsid w:val="00EA1209"/>
    <w:rsid w:val="00EA3332"/>
    <w:rsid w:val="00EB1726"/>
    <w:rsid w:val="00EB17E6"/>
    <w:rsid w:val="00EC75FF"/>
    <w:rsid w:val="00EE4235"/>
    <w:rsid w:val="00F53536"/>
    <w:rsid w:val="00F5635C"/>
    <w:rsid w:val="00F80D53"/>
    <w:rsid w:val="00F819DC"/>
    <w:rsid w:val="00F83D43"/>
    <w:rsid w:val="00F97D0E"/>
    <w:rsid w:val="00FC2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2022-03-17T23:54:00Z</cp:lastPrinted>
  <dcterms:created xsi:type="dcterms:W3CDTF">2022-11-18T05:09:00Z</dcterms:created>
  <dcterms:modified xsi:type="dcterms:W3CDTF">2022-11-18T05:09:00Z</dcterms:modified>
</cp:coreProperties>
</file>