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D7AEB" w14:textId="126E1DEF" w:rsidR="00F87E04" w:rsidRPr="004A0122" w:rsidRDefault="004A0122">
      <w:pPr>
        <w:jc w:val="right"/>
        <w:rPr>
          <w:rFonts w:ascii="Times New Roman" w:hAnsi="Times New Roman"/>
          <w:sz w:val="24"/>
          <w:szCs w:val="24"/>
        </w:rPr>
      </w:pPr>
      <w:r>
        <w:rPr>
          <w:rFonts w:ascii="Times New Roman" w:hAnsi="Times New Roman"/>
          <w:b/>
          <w:bCs/>
          <w:sz w:val="24"/>
          <w:szCs w:val="24"/>
        </w:rPr>
        <w:t xml:space="preserve">Operating </w:t>
      </w:r>
      <w:r w:rsidR="00EE4403" w:rsidRPr="004A0122">
        <w:rPr>
          <w:rFonts w:ascii="Times New Roman" w:hAnsi="Times New Roman"/>
          <w:b/>
          <w:bCs/>
          <w:sz w:val="24"/>
          <w:szCs w:val="24"/>
        </w:rPr>
        <w:t>Policy</w:t>
      </w:r>
      <w:r>
        <w:rPr>
          <w:rFonts w:ascii="Times New Roman" w:hAnsi="Times New Roman"/>
          <w:b/>
          <w:bCs/>
          <w:sz w:val="24"/>
          <w:szCs w:val="24"/>
        </w:rPr>
        <w:t xml:space="preserve"> No. </w:t>
      </w:r>
      <w:r w:rsidR="00EE4403" w:rsidRPr="004A0122">
        <w:rPr>
          <w:rFonts w:ascii="Times New Roman" w:hAnsi="Times New Roman"/>
          <w:b/>
          <w:bCs/>
          <w:sz w:val="24"/>
          <w:szCs w:val="24"/>
        </w:rPr>
        <w:t xml:space="preserve"> 2030</w:t>
      </w:r>
      <w:r w:rsidR="00EE4403" w:rsidRPr="004A0122">
        <w:rPr>
          <w:rFonts w:ascii="Times New Roman" w:hAnsi="Times New Roman"/>
          <w:b/>
          <w:bCs/>
          <w:sz w:val="24"/>
          <w:szCs w:val="24"/>
        </w:rPr>
        <w:br/>
        <w:t>Instruction</w:t>
      </w:r>
    </w:p>
    <w:p w14:paraId="6D917856" w14:textId="257F1B04" w:rsidR="00F87E04" w:rsidRPr="004A0122" w:rsidRDefault="00F87E04">
      <w:pPr>
        <w:jc w:val="center"/>
        <w:rPr>
          <w:rFonts w:ascii="Times New Roman" w:eastAsia="Times New Roman" w:hAnsi="Times New Roman"/>
          <w:sz w:val="24"/>
          <w:szCs w:val="24"/>
        </w:rPr>
      </w:pPr>
    </w:p>
    <w:p w14:paraId="4017D563" w14:textId="2E96815B" w:rsidR="00F87E04" w:rsidRPr="00AB072B" w:rsidRDefault="004A0122" w:rsidP="00AB072B">
      <w:pPr>
        <w:pStyle w:val="NormalWeb"/>
        <w:jc w:val="center"/>
        <w:rPr>
          <w:rFonts w:ascii="Times New Roman" w:hAnsi="Times New Roman"/>
          <w:sz w:val="22"/>
        </w:rPr>
      </w:pPr>
      <w:r w:rsidRPr="004A0122">
        <w:rPr>
          <w:rFonts w:ascii="Times New Roman" w:hAnsi="Times New Roman"/>
          <w:b/>
          <w:bCs/>
          <w:sz w:val="22"/>
        </w:rPr>
        <w:t>SERVICE ANIMALS IN SCHOOLS</w:t>
      </w:r>
    </w:p>
    <w:p w14:paraId="6D61FE98" w14:textId="77777777" w:rsidR="00F87E04" w:rsidRPr="004A0122" w:rsidRDefault="00F87E04">
      <w:pPr>
        <w:rPr>
          <w:rFonts w:ascii="Times New Roman" w:eastAsia="Times New Roman" w:hAnsi="Times New Roman"/>
          <w:sz w:val="24"/>
          <w:szCs w:val="24"/>
        </w:rPr>
      </w:pPr>
    </w:p>
    <w:p w14:paraId="63710B65" w14:textId="02001D28" w:rsidR="00F87E04" w:rsidRPr="004A0122" w:rsidRDefault="004A0122">
      <w:pPr>
        <w:pStyle w:val="NormalWeb"/>
        <w:rPr>
          <w:rFonts w:ascii="Times New Roman" w:hAnsi="Times New Roman"/>
          <w:sz w:val="24"/>
          <w:szCs w:val="24"/>
        </w:rPr>
      </w:pPr>
      <w:r>
        <w:rPr>
          <w:rFonts w:ascii="Times New Roman" w:hAnsi="Times New Roman"/>
          <w:sz w:val="24"/>
          <w:szCs w:val="24"/>
        </w:rPr>
        <w:t xml:space="preserve">Puget Sound Educational Service District (PSESD) </w:t>
      </w:r>
      <w:r w:rsidR="00EE4403" w:rsidRPr="004A0122">
        <w:rPr>
          <w:rFonts w:ascii="Times New Roman" w:hAnsi="Times New Roman"/>
          <w:sz w:val="24"/>
          <w:szCs w:val="24"/>
        </w:rPr>
        <w:t xml:space="preserve">acknowledges its responsibility to permit students and/or adults with disabilities to be accompanied by a “service animal” as required by federal laws and Washington State’s law against discrimination. This policy governs the presence of service animals </w:t>
      </w:r>
      <w:r w:rsidR="006F1CBA">
        <w:rPr>
          <w:rFonts w:ascii="Times New Roman" w:hAnsi="Times New Roman"/>
          <w:sz w:val="24"/>
          <w:szCs w:val="24"/>
        </w:rPr>
        <w:t>at ReLife S</w:t>
      </w:r>
      <w:r w:rsidR="00EE4403" w:rsidRPr="004A0122">
        <w:rPr>
          <w:rFonts w:ascii="Times New Roman" w:hAnsi="Times New Roman"/>
          <w:sz w:val="24"/>
          <w:szCs w:val="24"/>
        </w:rPr>
        <w:t>chool, on school property, including school buses and at school activities.</w:t>
      </w:r>
    </w:p>
    <w:p w14:paraId="02CF1D67" w14:textId="77777777" w:rsidR="00F87E04" w:rsidRPr="004A0122" w:rsidRDefault="00EE4403">
      <w:pPr>
        <w:pStyle w:val="NormalWeb"/>
        <w:rPr>
          <w:rFonts w:ascii="Times New Roman" w:hAnsi="Times New Roman"/>
          <w:sz w:val="24"/>
          <w:szCs w:val="24"/>
        </w:rPr>
      </w:pPr>
      <w:r w:rsidRPr="004A0122">
        <w:rPr>
          <w:rFonts w:ascii="Times New Roman" w:hAnsi="Times New Roman"/>
          <w:sz w:val="24"/>
          <w:szCs w:val="24"/>
        </w:rPr>
        <w:br/>
        <w:t xml:space="preserve">A “service animal” means any dog or miniature horse that is individually trained to do work or perform tasks for the benefit of an individual with a disability, including a physical, sensory, psychiatric, intellectual, or other mental disability. The work or tasks performed by the service animal must be directly related to the individual’s disability. </w:t>
      </w:r>
    </w:p>
    <w:p w14:paraId="5EA7A79F" w14:textId="77777777" w:rsidR="00F87E04" w:rsidRPr="004A0122" w:rsidRDefault="00EE4403">
      <w:pPr>
        <w:pStyle w:val="NormalWeb"/>
        <w:rPr>
          <w:rFonts w:ascii="Times New Roman" w:hAnsi="Times New Roman"/>
          <w:sz w:val="24"/>
          <w:szCs w:val="24"/>
        </w:rPr>
      </w:pPr>
      <w:r w:rsidRPr="004A0122">
        <w:rPr>
          <w:rFonts w:ascii="Times New Roman" w:hAnsi="Times New Roman"/>
          <w:sz w:val="24"/>
          <w:szCs w:val="24"/>
        </w:rPr>
        <w:t> </w:t>
      </w:r>
    </w:p>
    <w:p w14:paraId="60D6693C" w14:textId="77777777" w:rsidR="00F87E04" w:rsidRPr="004A0122" w:rsidRDefault="00EE4403">
      <w:pPr>
        <w:pStyle w:val="NormalWeb"/>
        <w:rPr>
          <w:rFonts w:ascii="Times New Roman" w:hAnsi="Times New Roman"/>
          <w:sz w:val="24"/>
          <w:szCs w:val="24"/>
        </w:rPr>
      </w:pPr>
      <w:r w:rsidRPr="004A0122">
        <w:rPr>
          <w:rFonts w:ascii="Times New Roman" w:hAnsi="Times New Roman"/>
          <w:sz w:val="24"/>
          <w:szCs w:val="24"/>
        </w:rPr>
        <w:t>Examples of work or tasks include, but are not limited to the following:</w:t>
      </w:r>
    </w:p>
    <w:p w14:paraId="1C9017EA" w14:textId="77777777" w:rsidR="00F87E04" w:rsidRPr="004A0122" w:rsidRDefault="00EE4403">
      <w:pPr>
        <w:numPr>
          <w:ilvl w:val="0"/>
          <w:numId w:val="3"/>
        </w:numPr>
        <w:rPr>
          <w:rFonts w:ascii="Times New Roman" w:hAnsi="Times New Roman"/>
          <w:sz w:val="24"/>
          <w:szCs w:val="24"/>
        </w:rPr>
      </w:pPr>
      <w:r w:rsidRPr="004A0122">
        <w:rPr>
          <w:rFonts w:ascii="Times New Roman" w:hAnsi="Times New Roman"/>
          <w:sz w:val="24"/>
          <w:szCs w:val="24"/>
        </w:rPr>
        <w:t xml:space="preserve">Assisting individuals who are blind or have low vision with navigation and other tasks, </w:t>
      </w:r>
    </w:p>
    <w:p w14:paraId="5EF21BCF" w14:textId="77777777" w:rsidR="00F87E04" w:rsidRPr="004A0122" w:rsidRDefault="00EE4403">
      <w:pPr>
        <w:numPr>
          <w:ilvl w:val="0"/>
          <w:numId w:val="3"/>
        </w:numPr>
        <w:rPr>
          <w:rFonts w:ascii="Times New Roman" w:hAnsi="Times New Roman"/>
          <w:sz w:val="24"/>
          <w:szCs w:val="24"/>
        </w:rPr>
      </w:pPr>
      <w:r w:rsidRPr="004A0122">
        <w:rPr>
          <w:rFonts w:ascii="Times New Roman" w:hAnsi="Times New Roman"/>
          <w:sz w:val="24"/>
          <w:szCs w:val="24"/>
        </w:rPr>
        <w:t>Alerting individuals who are deaf or hard of hearing to the presence of people or sounds,</w:t>
      </w:r>
    </w:p>
    <w:p w14:paraId="0921D00F" w14:textId="77777777" w:rsidR="00F87E04" w:rsidRPr="004A0122" w:rsidRDefault="00EE4403">
      <w:pPr>
        <w:numPr>
          <w:ilvl w:val="0"/>
          <w:numId w:val="3"/>
        </w:numPr>
        <w:rPr>
          <w:rFonts w:ascii="Times New Roman" w:hAnsi="Times New Roman"/>
          <w:sz w:val="24"/>
          <w:szCs w:val="24"/>
        </w:rPr>
      </w:pPr>
      <w:r w:rsidRPr="004A0122">
        <w:rPr>
          <w:rFonts w:ascii="Times New Roman" w:hAnsi="Times New Roman"/>
          <w:sz w:val="24"/>
          <w:szCs w:val="24"/>
        </w:rPr>
        <w:t>Providing nonviolent protection or rescue work,</w:t>
      </w:r>
    </w:p>
    <w:p w14:paraId="71378C97" w14:textId="77777777" w:rsidR="00F87E04" w:rsidRPr="004A0122" w:rsidRDefault="00EE4403">
      <w:pPr>
        <w:numPr>
          <w:ilvl w:val="0"/>
          <w:numId w:val="3"/>
        </w:numPr>
        <w:rPr>
          <w:rFonts w:ascii="Times New Roman" w:hAnsi="Times New Roman"/>
          <w:sz w:val="24"/>
          <w:szCs w:val="24"/>
        </w:rPr>
      </w:pPr>
      <w:r w:rsidRPr="004A0122">
        <w:rPr>
          <w:rFonts w:ascii="Times New Roman" w:hAnsi="Times New Roman"/>
          <w:sz w:val="24"/>
          <w:szCs w:val="24"/>
        </w:rPr>
        <w:t>Pulling a wheelchair,</w:t>
      </w:r>
    </w:p>
    <w:p w14:paraId="7B195F15" w14:textId="77777777" w:rsidR="00F87E04" w:rsidRPr="004A0122" w:rsidRDefault="00EE4403">
      <w:pPr>
        <w:numPr>
          <w:ilvl w:val="0"/>
          <w:numId w:val="3"/>
        </w:numPr>
        <w:rPr>
          <w:rFonts w:ascii="Times New Roman" w:hAnsi="Times New Roman"/>
          <w:sz w:val="24"/>
          <w:szCs w:val="24"/>
        </w:rPr>
      </w:pPr>
      <w:r w:rsidRPr="004A0122">
        <w:rPr>
          <w:rFonts w:ascii="Times New Roman" w:hAnsi="Times New Roman"/>
          <w:sz w:val="24"/>
          <w:szCs w:val="24"/>
        </w:rPr>
        <w:t>Assisting an individual during a seizure,</w:t>
      </w:r>
    </w:p>
    <w:p w14:paraId="1761ADEE" w14:textId="77777777" w:rsidR="00F87E04" w:rsidRPr="004A0122" w:rsidRDefault="00EE4403">
      <w:pPr>
        <w:numPr>
          <w:ilvl w:val="0"/>
          <w:numId w:val="3"/>
        </w:numPr>
        <w:rPr>
          <w:rFonts w:ascii="Times New Roman" w:hAnsi="Times New Roman"/>
          <w:sz w:val="24"/>
          <w:szCs w:val="24"/>
        </w:rPr>
      </w:pPr>
      <w:r w:rsidRPr="004A0122">
        <w:rPr>
          <w:rFonts w:ascii="Times New Roman" w:hAnsi="Times New Roman"/>
          <w:sz w:val="24"/>
          <w:szCs w:val="24"/>
        </w:rPr>
        <w:t>Alerting an individual to the presence of allergens,</w:t>
      </w:r>
    </w:p>
    <w:p w14:paraId="195A3C56" w14:textId="77777777" w:rsidR="00F87E04" w:rsidRPr="004A0122" w:rsidRDefault="00EE4403">
      <w:pPr>
        <w:numPr>
          <w:ilvl w:val="0"/>
          <w:numId w:val="3"/>
        </w:numPr>
        <w:rPr>
          <w:rFonts w:ascii="Times New Roman" w:hAnsi="Times New Roman"/>
          <w:sz w:val="24"/>
          <w:szCs w:val="24"/>
        </w:rPr>
      </w:pPr>
      <w:r w:rsidRPr="004A0122">
        <w:rPr>
          <w:rFonts w:ascii="Times New Roman" w:hAnsi="Times New Roman"/>
          <w:sz w:val="24"/>
          <w:szCs w:val="24"/>
        </w:rPr>
        <w:t>Retrieving items, such as medicine or the telephone,</w:t>
      </w:r>
    </w:p>
    <w:p w14:paraId="35C95D8C" w14:textId="77777777" w:rsidR="00F87E04" w:rsidRPr="004A0122" w:rsidRDefault="00EE4403">
      <w:pPr>
        <w:numPr>
          <w:ilvl w:val="0"/>
          <w:numId w:val="3"/>
        </w:numPr>
        <w:rPr>
          <w:rFonts w:ascii="Times New Roman" w:hAnsi="Times New Roman"/>
          <w:sz w:val="24"/>
          <w:szCs w:val="24"/>
        </w:rPr>
      </w:pPr>
      <w:r w:rsidRPr="004A0122">
        <w:rPr>
          <w:rFonts w:ascii="Times New Roman" w:hAnsi="Times New Roman"/>
          <w:sz w:val="24"/>
          <w:szCs w:val="24"/>
        </w:rPr>
        <w:t>Providing physical support and assistance with balance and stability to individuals with mobility disabilities, and</w:t>
      </w:r>
    </w:p>
    <w:p w14:paraId="0916A771" w14:textId="77777777" w:rsidR="00F87E04" w:rsidRPr="004A0122" w:rsidRDefault="00EE4403">
      <w:pPr>
        <w:numPr>
          <w:ilvl w:val="0"/>
          <w:numId w:val="3"/>
        </w:numPr>
        <w:rPr>
          <w:rFonts w:ascii="Times New Roman" w:hAnsi="Times New Roman"/>
          <w:sz w:val="24"/>
          <w:szCs w:val="24"/>
        </w:rPr>
      </w:pPr>
      <w:r w:rsidRPr="004A0122">
        <w:rPr>
          <w:rFonts w:ascii="Times New Roman" w:hAnsi="Times New Roman"/>
          <w:sz w:val="24"/>
          <w:szCs w:val="24"/>
        </w:rPr>
        <w:t xml:space="preserve">Helping persons with psychiatric and neurological disabilities by preventing or interrupting impulsive or destructive behaviors. </w:t>
      </w:r>
    </w:p>
    <w:p w14:paraId="4D60D93A" w14:textId="77777777" w:rsidR="004A0122" w:rsidRDefault="004A0122">
      <w:pPr>
        <w:pStyle w:val="NormalWeb"/>
        <w:rPr>
          <w:rFonts w:ascii="Times New Roman" w:hAnsi="Times New Roman"/>
          <w:sz w:val="24"/>
          <w:szCs w:val="24"/>
        </w:rPr>
      </w:pPr>
    </w:p>
    <w:p w14:paraId="45225CE3" w14:textId="6CB09569" w:rsidR="00F87E04" w:rsidRPr="004A0122" w:rsidRDefault="00EE4403">
      <w:pPr>
        <w:pStyle w:val="NormalWeb"/>
        <w:rPr>
          <w:rFonts w:ascii="Times New Roman" w:hAnsi="Times New Roman"/>
          <w:sz w:val="24"/>
          <w:szCs w:val="24"/>
        </w:rPr>
      </w:pPr>
      <w:r w:rsidRPr="004A0122">
        <w:rPr>
          <w:rFonts w:ascii="Times New Roman" w:hAnsi="Times New Roman"/>
          <w:sz w:val="24"/>
          <w:szCs w:val="24"/>
        </w:rPr>
        <w:t>The crime deterrent effects of an animal’s presence and the provision of emotional support, well-being, comfort, or companionship do not constitute work or tasks.</w:t>
      </w:r>
    </w:p>
    <w:p w14:paraId="257AC9DC" w14:textId="77777777" w:rsidR="006F1CBA" w:rsidRDefault="00EE4403">
      <w:pPr>
        <w:pStyle w:val="NormalWeb"/>
        <w:rPr>
          <w:rFonts w:ascii="Times New Roman" w:hAnsi="Times New Roman"/>
          <w:sz w:val="24"/>
          <w:szCs w:val="24"/>
        </w:rPr>
      </w:pPr>
      <w:r w:rsidRPr="004A0122">
        <w:rPr>
          <w:rFonts w:ascii="Times New Roman" w:hAnsi="Times New Roman"/>
          <w:sz w:val="24"/>
          <w:szCs w:val="24"/>
        </w:rPr>
        <w:br/>
        <w:t xml:space="preserve">It is a civil infraction to misrepresent an animal as a service animal. A student’s parent/guardian who believes their student needs to bring a service animal to school or an employee who wishes to bring a service animal to school, must submit a written request to the </w:t>
      </w:r>
      <w:r w:rsidR="006F1CBA">
        <w:rPr>
          <w:rFonts w:ascii="Times New Roman" w:hAnsi="Times New Roman"/>
          <w:sz w:val="24"/>
          <w:szCs w:val="24"/>
        </w:rPr>
        <w:t xml:space="preserve">ReLife School </w:t>
      </w:r>
      <w:r w:rsidRPr="004A0122">
        <w:rPr>
          <w:rFonts w:ascii="Times New Roman" w:hAnsi="Times New Roman"/>
          <w:sz w:val="24"/>
          <w:szCs w:val="24"/>
        </w:rPr>
        <w:t xml:space="preserve">principal. </w:t>
      </w:r>
    </w:p>
    <w:p w14:paraId="4FFE46E7" w14:textId="77777777" w:rsidR="006F1CBA" w:rsidRDefault="006F1CBA">
      <w:pPr>
        <w:pStyle w:val="NormalWeb"/>
        <w:rPr>
          <w:rFonts w:ascii="Times New Roman" w:hAnsi="Times New Roman"/>
          <w:sz w:val="24"/>
          <w:szCs w:val="24"/>
        </w:rPr>
      </w:pPr>
    </w:p>
    <w:p w14:paraId="52524B34" w14:textId="729EC526" w:rsidR="00F87E04" w:rsidRPr="004A0122" w:rsidRDefault="00EE4403">
      <w:pPr>
        <w:pStyle w:val="NormalWeb"/>
        <w:rPr>
          <w:rFonts w:ascii="Times New Roman" w:hAnsi="Times New Roman"/>
          <w:sz w:val="24"/>
          <w:szCs w:val="24"/>
        </w:rPr>
      </w:pPr>
      <w:r w:rsidRPr="004A0122">
        <w:rPr>
          <w:rFonts w:ascii="Times New Roman" w:hAnsi="Times New Roman"/>
          <w:sz w:val="24"/>
          <w:szCs w:val="24"/>
        </w:rPr>
        <w:t xml:space="preserve">The </w:t>
      </w:r>
      <w:r w:rsidR="004A0122">
        <w:rPr>
          <w:rFonts w:ascii="Times New Roman" w:hAnsi="Times New Roman"/>
          <w:sz w:val="24"/>
          <w:szCs w:val="24"/>
        </w:rPr>
        <w:t xml:space="preserve">ReLife School </w:t>
      </w:r>
      <w:r w:rsidRPr="004A0122">
        <w:rPr>
          <w:rFonts w:ascii="Times New Roman" w:hAnsi="Times New Roman"/>
          <w:sz w:val="24"/>
          <w:szCs w:val="24"/>
        </w:rPr>
        <w:t xml:space="preserve"> principal, in consultation with </w:t>
      </w:r>
      <w:r w:rsidR="004A0122">
        <w:rPr>
          <w:rFonts w:ascii="Times New Roman" w:hAnsi="Times New Roman"/>
          <w:sz w:val="24"/>
          <w:szCs w:val="24"/>
        </w:rPr>
        <w:t xml:space="preserve">PSESD’s </w:t>
      </w:r>
      <w:r w:rsidRPr="004A0122">
        <w:rPr>
          <w:rFonts w:ascii="Times New Roman" w:hAnsi="Times New Roman"/>
          <w:sz w:val="24"/>
          <w:szCs w:val="24"/>
        </w:rPr>
        <w:t xml:space="preserve"> Section 504 coordinator or director of special services, as appropriate, will determine whether to permit the service animal in school. The principal shall not ask about the nature or extent of a person’s disability but may make two inquires to determine whether an animal qualifies as a service animal. The principal may ask if the animal is required because of a disability and what work or task the animal has been trained to perform. The </w:t>
      </w:r>
      <w:r w:rsidR="004A0122">
        <w:rPr>
          <w:rFonts w:ascii="Times New Roman" w:hAnsi="Times New Roman"/>
          <w:sz w:val="24"/>
          <w:szCs w:val="24"/>
        </w:rPr>
        <w:t xml:space="preserve">ReLife School </w:t>
      </w:r>
      <w:r w:rsidRPr="004A0122">
        <w:rPr>
          <w:rFonts w:ascii="Times New Roman" w:hAnsi="Times New Roman"/>
          <w:sz w:val="24"/>
          <w:szCs w:val="24"/>
        </w:rPr>
        <w:t xml:space="preserve">principal shall not require documentation, such as proof that the animal has been certified, trained, or licensed as a service animal, or require that the service animal demonstrate its task. The principal may not make these inquiries about a service animal when it is readily apparent that an animal is trained to do work or perform tasks for a person with a disability. </w:t>
      </w:r>
    </w:p>
    <w:p w14:paraId="3A1BE275" w14:textId="77777777" w:rsidR="00F87E04" w:rsidRPr="004A0122" w:rsidRDefault="00EE4403">
      <w:pPr>
        <w:pStyle w:val="NormalWeb"/>
        <w:rPr>
          <w:rFonts w:ascii="Times New Roman" w:hAnsi="Times New Roman"/>
          <w:sz w:val="24"/>
          <w:szCs w:val="24"/>
        </w:rPr>
      </w:pPr>
      <w:r w:rsidRPr="004A0122">
        <w:rPr>
          <w:rFonts w:ascii="Times New Roman" w:hAnsi="Times New Roman"/>
          <w:sz w:val="24"/>
          <w:szCs w:val="24"/>
        </w:rPr>
        <w:t> </w:t>
      </w:r>
    </w:p>
    <w:p w14:paraId="5ACB70CD" w14:textId="3A2FA52B" w:rsidR="00F87E04" w:rsidRPr="004A0122" w:rsidRDefault="004A0122">
      <w:pPr>
        <w:pStyle w:val="NormalWeb"/>
        <w:rPr>
          <w:rFonts w:ascii="Times New Roman" w:hAnsi="Times New Roman"/>
          <w:sz w:val="24"/>
          <w:szCs w:val="24"/>
        </w:rPr>
      </w:pPr>
      <w:r>
        <w:rPr>
          <w:rFonts w:ascii="Times New Roman" w:hAnsi="Times New Roman"/>
          <w:sz w:val="24"/>
          <w:szCs w:val="24"/>
        </w:rPr>
        <w:t xml:space="preserve">ReLife School </w:t>
      </w:r>
      <w:r w:rsidR="00EE4403" w:rsidRPr="004A0122">
        <w:rPr>
          <w:rFonts w:ascii="Times New Roman" w:hAnsi="Times New Roman"/>
          <w:sz w:val="24"/>
          <w:szCs w:val="24"/>
        </w:rPr>
        <w:t xml:space="preserve"> will develop procedures to implement the policy.</w:t>
      </w:r>
    </w:p>
    <w:p w14:paraId="196C202E" w14:textId="77777777" w:rsidR="006E2A63" w:rsidRDefault="006E2A63">
      <w:pPr>
        <w:spacing w:after="240"/>
        <w:rPr>
          <w:rFonts w:ascii="Times New Roman" w:eastAsia="Times New Roman" w:hAnsi="Times New Roman"/>
          <w:sz w:val="24"/>
          <w:szCs w:val="24"/>
        </w:rPr>
      </w:pPr>
    </w:p>
    <w:p w14:paraId="1DEF0C66" w14:textId="27A5A9B4" w:rsidR="004A0122" w:rsidRDefault="004A0122">
      <w:pPr>
        <w:spacing w:after="240"/>
        <w:rPr>
          <w:rFonts w:ascii="Times New Roman" w:eastAsia="Times New Roman" w:hAnsi="Times New Roman"/>
          <w:sz w:val="24"/>
          <w:szCs w:val="24"/>
        </w:rPr>
      </w:pPr>
      <w:r>
        <w:rPr>
          <w:rFonts w:ascii="Times New Roman" w:eastAsia="Times New Roman" w:hAnsi="Times New Roman"/>
          <w:sz w:val="24"/>
          <w:szCs w:val="24"/>
        </w:rPr>
        <w:t xml:space="preserve">Adopted: </w:t>
      </w:r>
      <w:r>
        <w:rPr>
          <w:rFonts w:ascii="Times New Roman" w:eastAsia="Times New Roman" w:hAnsi="Times New Roman"/>
          <w:sz w:val="24"/>
          <w:szCs w:val="24"/>
        </w:rPr>
        <w:tab/>
        <w:t>February 2021</w:t>
      </w:r>
    </w:p>
    <w:p w14:paraId="19577C51" w14:textId="77777777" w:rsidR="00782D8D" w:rsidRDefault="004A0122" w:rsidP="00782D8D">
      <w:pPr>
        <w:pStyle w:val="AdoptionDate"/>
        <w:suppressAutoHyphens/>
        <w:rPr>
          <w:rFonts w:ascii="Times New Roman" w:hAnsi="Times New Roman"/>
          <w:b w:val="0"/>
          <w:sz w:val="24"/>
          <w:szCs w:val="24"/>
        </w:rPr>
      </w:pPr>
      <w:r w:rsidRPr="00E92916">
        <w:rPr>
          <w:rFonts w:ascii="Times New Roman" w:hAnsi="Times New Roman"/>
          <w:b w:val="0"/>
          <w:bCs/>
          <w:sz w:val="24"/>
          <w:szCs w:val="24"/>
        </w:rPr>
        <w:t>Relevant Board Governance Policies:</w:t>
      </w:r>
      <w:r>
        <w:rPr>
          <w:rFonts w:ascii="Times New Roman" w:hAnsi="Times New Roman"/>
          <w:sz w:val="24"/>
          <w:szCs w:val="24"/>
        </w:rPr>
        <w:tab/>
      </w:r>
      <w:r w:rsidR="00782D8D" w:rsidRPr="00407F6C">
        <w:rPr>
          <w:rFonts w:ascii="Times New Roman" w:hAnsi="Times New Roman"/>
          <w:b w:val="0"/>
          <w:sz w:val="24"/>
          <w:szCs w:val="24"/>
        </w:rPr>
        <w:t>EL 1 Global Executive Constraint</w:t>
      </w:r>
    </w:p>
    <w:p w14:paraId="4C48E9F2" w14:textId="1C319234" w:rsidR="00782D8D" w:rsidRPr="00407F6C" w:rsidRDefault="00782D8D" w:rsidP="00782D8D">
      <w:pPr>
        <w:pStyle w:val="AdoptionDate"/>
        <w:suppressAutoHyphens/>
        <w:rPr>
          <w:rFonts w:ascii="Times New Roman" w:hAnsi="Times New Roman"/>
          <w:b w:val="0"/>
          <w:sz w:val="24"/>
          <w:szCs w:val="24"/>
        </w:rPr>
      </w:pPr>
      <w:r>
        <w:rPr>
          <w:rFonts w:ascii="Times New Roman" w:hAnsi="Times New Roman"/>
          <w:b w:val="0"/>
          <w:sz w:val="24"/>
          <w:szCs w:val="24"/>
        </w:rPr>
        <w:t xml:space="preserve">                                                             </w:t>
      </w:r>
      <w:r>
        <w:rPr>
          <w:rFonts w:ascii="Times New Roman" w:hAnsi="Times New Roman"/>
          <w:b w:val="0"/>
          <w:sz w:val="24"/>
          <w:szCs w:val="24"/>
        </w:rPr>
        <w:tab/>
      </w:r>
      <w:r w:rsidRPr="00407F6C">
        <w:rPr>
          <w:rFonts w:ascii="Times New Roman" w:hAnsi="Times New Roman"/>
          <w:b w:val="0"/>
          <w:sz w:val="24"/>
          <w:szCs w:val="24"/>
        </w:rPr>
        <w:t xml:space="preserve">EL 3 </w:t>
      </w:r>
      <w:r>
        <w:rPr>
          <w:rFonts w:ascii="Times New Roman" w:hAnsi="Times New Roman"/>
          <w:b w:val="0"/>
          <w:sz w:val="24"/>
          <w:szCs w:val="24"/>
        </w:rPr>
        <w:t>Transformational Relationships</w:t>
      </w:r>
    </w:p>
    <w:p w14:paraId="2443BD6F" w14:textId="40E9E9B7" w:rsidR="00782D8D" w:rsidRPr="00407F6C" w:rsidRDefault="00782D8D" w:rsidP="00782D8D">
      <w:pPr>
        <w:pStyle w:val="AdoptionDate"/>
        <w:suppressAutoHyphens/>
        <w:rPr>
          <w:rFonts w:ascii="Times New Roman" w:hAnsi="Times New Roman"/>
          <w:b w:val="0"/>
          <w:sz w:val="24"/>
          <w:szCs w:val="24"/>
        </w:rPr>
      </w:pPr>
      <w:r>
        <w:rPr>
          <w:rFonts w:ascii="Times New Roman" w:hAnsi="Times New Roman"/>
          <w:b w:val="0"/>
          <w:sz w:val="24"/>
          <w:szCs w:val="24"/>
        </w:rPr>
        <w:t xml:space="preserve">                                                            </w:t>
      </w:r>
    </w:p>
    <w:p w14:paraId="2D0F9B44" w14:textId="0A344A04" w:rsidR="00505A27" w:rsidRPr="004A0122" w:rsidRDefault="00505A27" w:rsidP="00AB072B">
      <w:pPr>
        <w:tabs>
          <w:tab w:val="left" w:pos="3090"/>
        </w:tabs>
        <w:ind w:left="2160" w:hanging="2115"/>
        <w:rPr>
          <w:rFonts w:ascii="Times New Roman" w:hAnsi="Times New Roman"/>
          <w:sz w:val="24"/>
          <w:szCs w:val="24"/>
        </w:rPr>
      </w:pPr>
      <w:r w:rsidRPr="004A0122">
        <w:rPr>
          <w:rFonts w:ascii="Times New Roman" w:hAnsi="Times New Roman"/>
          <w:sz w:val="24"/>
          <w:szCs w:val="24"/>
        </w:rPr>
        <w:t xml:space="preserve">Cross References: </w:t>
      </w:r>
      <w:r>
        <w:rPr>
          <w:rFonts w:ascii="Times New Roman" w:hAnsi="Times New Roman"/>
          <w:sz w:val="24"/>
          <w:szCs w:val="24"/>
        </w:rPr>
        <w:tab/>
        <w:t xml:space="preserve">Operating Policy No. </w:t>
      </w:r>
      <w:r w:rsidRPr="004A0122">
        <w:rPr>
          <w:rFonts w:ascii="Times New Roman" w:hAnsi="Times New Roman"/>
          <w:sz w:val="24"/>
          <w:szCs w:val="24"/>
        </w:rPr>
        <w:t xml:space="preserve">5010  Nondiscrimination and Affirmative Action </w:t>
      </w:r>
    </w:p>
    <w:p w14:paraId="64D512E8" w14:textId="62ACA098" w:rsidR="00505A27" w:rsidRPr="004A0122" w:rsidRDefault="00505A27" w:rsidP="00AB072B">
      <w:pPr>
        <w:tabs>
          <w:tab w:val="left" w:pos="2160"/>
        </w:tabs>
        <w:ind w:left="2160"/>
        <w:rPr>
          <w:rFonts w:ascii="Times New Roman" w:hAnsi="Times New Roman"/>
          <w:sz w:val="24"/>
          <w:szCs w:val="24"/>
        </w:rPr>
      </w:pPr>
      <w:r>
        <w:rPr>
          <w:rFonts w:ascii="Times New Roman" w:hAnsi="Times New Roman"/>
          <w:sz w:val="24"/>
          <w:szCs w:val="24"/>
        </w:rPr>
        <w:t xml:space="preserve">Operating Policy No. </w:t>
      </w:r>
      <w:r w:rsidRPr="004A0122">
        <w:rPr>
          <w:rFonts w:ascii="Times New Roman" w:hAnsi="Times New Roman"/>
          <w:sz w:val="24"/>
          <w:szCs w:val="24"/>
        </w:rPr>
        <w:t xml:space="preserve">2162  Education of Students With Disabilities Under Section 504 of the Rehabilitation Act of 1973 </w:t>
      </w:r>
    </w:p>
    <w:p w14:paraId="5D433322" w14:textId="38465EAF" w:rsidR="00505A27" w:rsidRPr="004A0122" w:rsidRDefault="00505A27" w:rsidP="00AB072B">
      <w:pPr>
        <w:tabs>
          <w:tab w:val="left" w:pos="2160"/>
        </w:tabs>
        <w:ind w:left="2160"/>
        <w:rPr>
          <w:rFonts w:ascii="Times New Roman" w:hAnsi="Times New Roman"/>
          <w:sz w:val="24"/>
          <w:szCs w:val="24"/>
        </w:rPr>
      </w:pPr>
      <w:r>
        <w:rPr>
          <w:rFonts w:ascii="Times New Roman" w:hAnsi="Times New Roman"/>
          <w:sz w:val="24"/>
          <w:szCs w:val="24"/>
        </w:rPr>
        <w:t xml:space="preserve">Operating Policy No. </w:t>
      </w:r>
      <w:r w:rsidRPr="004A0122">
        <w:rPr>
          <w:rFonts w:ascii="Times New Roman" w:hAnsi="Times New Roman"/>
          <w:sz w:val="24"/>
          <w:szCs w:val="24"/>
        </w:rPr>
        <w:t xml:space="preserve">2161 Special Education and Related Services for Eligible Students </w:t>
      </w:r>
    </w:p>
    <w:p w14:paraId="49E3151D" w14:textId="6DB7E45C" w:rsidR="00F87E04" w:rsidRPr="004A0122" w:rsidRDefault="00505A27" w:rsidP="00E92916">
      <w:pPr>
        <w:tabs>
          <w:tab w:val="left" w:pos="3090"/>
        </w:tabs>
        <w:ind w:left="45"/>
        <w:rPr>
          <w:rFonts w:ascii="Times New Roman" w:eastAsia="Times New Roman" w:hAnsi="Times New Roman"/>
          <w:sz w:val="24"/>
          <w:szCs w:val="24"/>
        </w:rPr>
      </w:pPr>
      <w:r w:rsidRPr="004A0122">
        <w:rPr>
          <w:rFonts w:ascii="Times New Roman" w:hAnsi="Times New Roman"/>
          <w:sz w:val="24"/>
          <w:szCs w:val="24"/>
        </w:rPr>
        <w:tab/>
      </w:r>
    </w:p>
    <w:p w14:paraId="7A6A16AD" w14:textId="77777777" w:rsidR="00B9798B" w:rsidRDefault="00B9798B" w:rsidP="00B9798B">
      <w:pPr>
        <w:tabs>
          <w:tab w:val="left" w:pos="3090"/>
        </w:tabs>
        <w:ind w:left="2160" w:hanging="2115"/>
        <w:rPr>
          <w:rFonts w:ascii="Times New Roman" w:hAnsi="Times New Roman"/>
          <w:sz w:val="24"/>
          <w:szCs w:val="24"/>
        </w:rPr>
      </w:pPr>
      <w:r w:rsidRPr="004A0122">
        <w:rPr>
          <w:rFonts w:ascii="Times New Roman" w:hAnsi="Times New Roman"/>
          <w:sz w:val="24"/>
          <w:szCs w:val="24"/>
        </w:rPr>
        <w:t xml:space="preserve">Legal References: </w:t>
      </w:r>
      <w:r w:rsidRPr="004A0122">
        <w:rPr>
          <w:rFonts w:ascii="Times New Roman" w:hAnsi="Times New Roman"/>
          <w:sz w:val="24"/>
          <w:szCs w:val="24"/>
        </w:rPr>
        <w:tab/>
        <w:t xml:space="preserve">American Disabilities Act (ADA), Revised Title II Regulations, §35 Service animals </w:t>
      </w:r>
    </w:p>
    <w:p w14:paraId="60514121" w14:textId="77777777" w:rsidR="00B9798B" w:rsidRDefault="00B9798B" w:rsidP="00B9798B">
      <w:pPr>
        <w:tabs>
          <w:tab w:val="left" w:pos="3090"/>
        </w:tabs>
        <w:ind w:left="2160" w:hanging="2115"/>
        <w:rPr>
          <w:rFonts w:ascii="Times New Roman" w:hAnsi="Times New Roman"/>
          <w:sz w:val="24"/>
          <w:szCs w:val="24"/>
        </w:rPr>
      </w:pPr>
      <w:r w:rsidRPr="004A0122">
        <w:rPr>
          <w:rFonts w:ascii="Times New Roman" w:hAnsi="Times New Roman"/>
          <w:sz w:val="24"/>
          <w:szCs w:val="24"/>
        </w:rPr>
        <w:tab/>
        <w:t xml:space="preserve">Section 504 of the Rehabilitation Act of 1973 </w:t>
      </w:r>
    </w:p>
    <w:p w14:paraId="28C7E839" w14:textId="77777777" w:rsidR="00B9798B" w:rsidRDefault="00B9798B" w:rsidP="00B9798B">
      <w:pPr>
        <w:tabs>
          <w:tab w:val="left" w:pos="3090"/>
        </w:tabs>
        <w:ind w:left="2160" w:hanging="2115"/>
        <w:rPr>
          <w:rFonts w:ascii="Times New Roman" w:hAnsi="Times New Roman"/>
          <w:sz w:val="24"/>
          <w:szCs w:val="24"/>
        </w:rPr>
      </w:pPr>
      <w:r>
        <w:rPr>
          <w:rFonts w:ascii="Times New Roman" w:hAnsi="Times New Roman"/>
          <w:sz w:val="24"/>
          <w:szCs w:val="24"/>
        </w:rPr>
        <w:tab/>
      </w:r>
      <w:r w:rsidRPr="004A0122">
        <w:rPr>
          <w:rFonts w:ascii="Times New Roman" w:hAnsi="Times New Roman"/>
          <w:sz w:val="24"/>
          <w:szCs w:val="24"/>
        </w:rPr>
        <w:t xml:space="preserve">RCW 28A.642 Discrimination Prohibition </w:t>
      </w:r>
    </w:p>
    <w:p w14:paraId="4B5F5B7C" w14:textId="77777777" w:rsidR="00B9798B" w:rsidRDefault="00B9798B" w:rsidP="00B9798B">
      <w:pPr>
        <w:tabs>
          <w:tab w:val="left" w:pos="3090"/>
        </w:tabs>
        <w:ind w:left="2160" w:hanging="2115"/>
        <w:rPr>
          <w:rFonts w:ascii="Times New Roman" w:hAnsi="Times New Roman"/>
          <w:sz w:val="24"/>
          <w:szCs w:val="24"/>
        </w:rPr>
      </w:pPr>
      <w:r>
        <w:rPr>
          <w:rFonts w:ascii="Times New Roman" w:hAnsi="Times New Roman"/>
          <w:sz w:val="24"/>
          <w:szCs w:val="24"/>
        </w:rPr>
        <w:tab/>
      </w:r>
      <w:r w:rsidRPr="004A0122">
        <w:rPr>
          <w:rFonts w:ascii="Times New Roman" w:hAnsi="Times New Roman"/>
          <w:sz w:val="24"/>
          <w:szCs w:val="24"/>
        </w:rPr>
        <w:t xml:space="preserve">RCW 49.60.040 Definitions </w:t>
      </w:r>
    </w:p>
    <w:p w14:paraId="35FEBD29" w14:textId="77777777" w:rsidR="00B9798B" w:rsidRDefault="00B9798B" w:rsidP="00B9798B">
      <w:pPr>
        <w:tabs>
          <w:tab w:val="left" w:pos="3090"/>
        </w:tabs>
        <w:ind w:left="2160" w:hanging="2115"/>
        <w:rPr>
          <w:rFonts w:ascii="Times New Roman" w:hAnsi="Times New Roman"/>
          <w:sz w:val="24"/>
          <w:szCs w:val="24"/>
        </w:rPr>
      </w:pPr>
      <w:r>
        <w:rPr>
          <w:rFonts w:ascii="Times New Roman" w:hAnsi="Times New Roman"/>
          <w:sz w:val="24"/>
          <w:szCs w:val="24"/>
        </w:rPr>
        <w:tab/>
      </w:r>
      <w:r w:rsidRPr="004A0122">
        <w:rPr>
          <w:rFonts w:ascii="Times New Roman" w:hAnsi="Times New Roman"/>
          <w:sz w:val="24"/>
          <w:szCs w:val="24"/>
        </w:rPr>
        <w:t xml:space="preserve">WAC 162-26 Public accommodations, disability discrimination </w:t>
      </w:r>
    </w:p>
    <w:p w14:paraId="14BFDB09" w14:textId="77777777" w:rsidR="00B9798B" w:rsidRDefault="00B9798B" w:rsidP="00B9798B">
      <w:pPr>
        <w:tabs>
          <w:tab w:val="left" w:pos="3090"/>
        </w:tabs>
        <w:ind w:left="2160" w:hanging="2115"/>
        <w:rPr>
          <w:rFonts w:ascii="Times New Roman" w:hAnsi="Times New Roman"/>
          <w:sz w:val="24"/>
          <w:szCs w:val="24"/>
        </w:rPr>
      </w:pPr>
      <w:r>
        <w:rPr>
          <w:rFonts w:ascii="Times New Roman" w:hAnsi="Times New Roman"/>
          <w:sz w:val="24"/>
          <w:szCs w:val="24"/>
        </w:rPr>
        <w:tab/>
      </w:r>
      <w:r w:rsidRPr="004A0122">
        <w:rPr>
          <w:rFonts w:ascii="Times New Roman" w:hAnsi="Times New Roman"/>
          <w:sz w:val="24"/>
          <w:szCs w:val="24"/>
        </w:rPr>
        <w:t xml:space="preserve">WAC 392-145-021(3) General operating requirements </w:t>
      </w:r>
    </w:p>
    <w:p w14:paraId="7B8A267E" w14:textId="77777777" w:rsidR="00B9798B" w:rsidRDefault="00B9798B" w:rsidP="00B9798B">
      <w:pPr>
        <w:tabs>
          <w:tab w:val="left" w:pos="3090"/>
        </w:tabs>
        <w:ind w:left="2160" w:hanging="2115"/>
        <w:rPr>
          <w:rFonts w:ascii="Times New Roman" w:hAnsi="Times New Roman"/>
          <w:sz w:val="24"/>
          <w:szCs w:val="24"/>
        </w:rPr>
      </w:pPr>
      <w:r>
        <w:rPr>
          <w:rFonts w:ascii="Times New Roman" w:hAnsi="Times New Roman"/>
          <w:sz w:val="24"/>
          <w:szCs w:val="24"/>
        </w:rPr>
        <w:tab/>
      </w:r>
      <w:r w:rsidRPr="004A0122">
        <w:rPr>
          <w:rFonts w:ascii="Times New Roman" w:hAnsi="Times New Roman"/>
          <w:sz w:val="24"/>
          <w:szCs w:val="24"/>
        </w:rPr>
        <w:t xml:space="preserve">WAC 392-172A-01035 Child with a disability or student eligible for special education </w:t>
      </w:r>
    </w:p>
    <w:p w14:paraId="4E71A225" w14:textId="77777777" w:rsidR="00B9798B" w:rsidRDefault="00B9798B" w:rsidP="00B9798B">
      <w:pPr>
        <w:tabs>
          <w:tab w:val="left" w:pos="3090"/>
        </w:tabs>
        <w:ind w:left="2160" w:hanging="2115"/>
        <w:rPr>
          <w:rFonts w:ascii="Times New Roman" w:hAnsi="Times New Roman"/>
          <w:sz w:val="24"/>
          <w:szCs w:val="24"/>
        </w:rPr>
      </w:pPr>
      <w:r>
        <w:rPr>
          <w:rFonts w:ascii="Times New Roman" w:hAnsi="Times New Roman"/>
          <w:sz w:val="24"/>
          <w:szCs w:val="24"/>
        </w:rPr>
        <w:tab/>
      </w:r>
      <w:r w:rsidRPr="004A0122">
        <w:rPr>
          <w:rFonts w:ascii="Times New Roman" w:hAnsi="Times New Roman"/>
          <w:sz w:val="24"/>
          <w:szCs w:val="24"/>
        </w:rPr>
        <w:t xml:space="preserve">WAC 392-172A-01155 (3) Related services </w:t>
      </w:r>
    </w:p>
    <w:p w14:paraId="45A4E117" w14:textId="78664E57" w:rsidR="00B9798B" w:rsidRPr="004A0122" w:rsidRDefault="00B9798B" w:rsidP="00AB072B">
      <w:pPr>
        <w:tabs>
          <w:tab w:val="left" w:pos="3090"/>
        </w:tabs>
        <w:ind w:left="2160" w:hanging="2115"/>
        <w:rPr>
          <w:rFonts w:ascii="Times New Roman" w:hAnsi="Times New Roman"/>
          <w:sz w:val="24"/>
          <w:szCs w:val="24"/>
        </w:rPr>
      </w:pPr>
      <w:r>
        <w:rPr>
          <w:rFonts w:ascii="Times New Roman" w:hAnsi="Times New Roman"/>
          <w:sz w:val="24"/>
          <w:szCs w:val="24"/>
        </w:rPr>
        <w:tab/>
      </w:r>
      <w:r w:rsidRPr="004A0122">
        <w:rPr>
          <w:rFonts w:ascii="Times New Roman" w:hAnsi="Times New Roman"/>
          <w:sz w:val="24"/>
          <w:szCs w:val="24"/>
        </w:rPr>
        <w:t xml:space="preserve">WAC 392-190 Equal education opportunity - Unlawful discrimination prohibited </w:t>
      </w:r>
    </w:p>
    <w:tbl>
      <w:tblPr>
        <w:tblW w:w="0" w:type="auto"/>
        <w:tblCellSpacing w:w="15" w:type="dxa"/>
        <w:tblLook w:val="04A0" w:firstRow="1" w:lastRow="0" w:firstColumn="1" w:lastColumn="0" w:noHBand="0" w:noVBand="1"/>
      </w:tblPr>
      <w:tblGrid>
        <w:gridCol w:w="3045"/>
        <w:gridCol w:w="66"/>
        <w:gridCol w:w="45"/>
      </w:tblGrid>
      <w:tr w:rsidR="00F87E04" w:rsidRPr="004A0122" w14:paraId="7A2A2E7D" w14:textId="77777777">
        <w:trPr>
          <w:gridAfter w:val="1"/>
          <w:tblCellSpacing w:w="15" w:type="dxa"/>
        </w:trPr>
        <w:tc>
          <w:tcPr>
            <w:tcW w:w="3000" w:type="dxa"/>
            <w:tcMar>
              <w:top w:w="15" w:type="dxa"/>
              <w:left w:w="15" w:type="dxa"/>
              <w:bottom w:w="15" w:type="dxa"/>
              <w:right w:w="15" w:type="dxa"/>
            </w:tcMar>
            <w:vAlign w:val="center"/>
            <w:hideMark/>
          </w:tcPr>
          <w:p w14:paraId="1566FFCB" w14:textId="77777777" w:rsidR="00F87E04" w:rsidRPr="004A0122" w:rsidRDefault="00F87E04">
            <w:pPr>
              <w:rPr>
                <w:rFonts w:ascii="Times New Roman" w:hAnsi="Times New Roman"/>
                <w:sz w:val="24"/>
                <w:szCs w:val="24"/>
              </w:rPr>
            </w:pPr>
          </w:p>
        </w:tc>
        <w:tc>
          <w:tcPr>
            <w:tcW w:w="0" w:type="auto"/>
            <w:tcMar>
              <w:top w:w="15" w:type="dxa"/>
              <w:left w:w="15" w:type="dxa"/>
              <w:bottom w:w="15" w:type="dxa"/>
              <w:right w:w="15" w:type="dxa"/>
            </w:tcMar>
            <w:vAlign w:val="center"/>
            <w:hideMark/>
          </w:tcPr>
          <w:p w14:paraId="2B6FC6CB" w14:textId="77777777" w:rsidR="00F87E04" w:rsidRPr="004A0122" w:rsidRDefault="00F87E04">
            <w:pPr>
              <w:rPr>
                <w:rFonts w:ascii="Times New Roman" w:eastAsia="Times New Roman" w:hAnsi="Times New Roman"/>
                <w:sz w:val="24"/>
                <w:szCs w:val="24"/>
              </w:rPr>
            </w:pPr>
          </w:p>
        </w:tc>
      </w:tr>
      <w:tr w:rsidR="00F87E04" w:rsidRPr="004A0122" w14:paraId="56F449C0" w14:textId="77777777">
        <w:trPr>
          <w:tblCellSpacing w:w="15" w:type="dxa"/>
        </w:trPr>
        <w:tc>
          <w:tcPr>
            <w:tcW w:w="3000" w:type="dxa"/>
            <w:tcMar>
              <w:top w:w="15" w:type="dxa"/>
              <w:left w:w="15" w:type="dxa"/>
              <w:bottom w:w="15" w:type="dxa"/>
              <w:right w:w="15" w:type="dxa"/>
            </w:tcMar>
            <w:vAlign w:val="center"/>
            <w:hideMark/>
          </w:tcPr>
          <w:p w14:paraId="65B2B9A3" w14:textId="77777777" w:rsidR="00F87E04" w:rsidRPr="004A0122" w:rsidRDefault="00F87E04" w:rsidP="00E92916">
            <w:pPr>
              <w:rPr>
                <w:rFonts w:ascii="Times New Roman" w:hAnsi="Times New Roman"/>
                <w:sz w:val="24"/>
                <w:szCs w:val="24"/>
              </w:rPr>
            </w:pPr>
          </w:p>
        </w:tc>
        <w:tc>
          <w:tcPr>
            <w:tcW w:w="0" w:type="auto"/>
            <w:gridSpan w:val="2"/>
            <w:tcMar>
              <w:top w:w="15" w:type="dxa"/>
              <w:left w:w="15" w:type="dxa"/>
              <w:bottom w:w="15" w:type="dxa"/>
              <w:right w:w="15" w:type="dxa"/>
            </w:tcMar>
            <w:vAlign w:val="center"/>
            <w:hideMark/>
          </w:tcPr>
          <w:p w14:paraId="14889622" w14:textId="77777777" w:rsidR="00F87E04" w:rsidRPr="004A0122" w:rsidRDefault="00F87E04">
            <w:pPr>
              <w:rPr>
                <w:rFonts w:ascii="Times New Roman" w:eastAsia="Times New Roman" w:hAnsi="Times New Roman"/>
                <w:sz w:val="24"/>
                <w:szCs w:val="24"/>
              </w:rPr>
            </w:pPr>
          </w:p>
        </w:tc>
      </w:tr>
    </w:tbl>
    <w:p w14:paraId="74BE3BD0" w14:textId="77777777" w:rsidR="00F87E04" w:rsidRPr="004A0122" w:rsidRDefault="00F87E04">
      <w:pPr>
        <w:spacing w:after="240"/>
        <w:rPr>
          <w:rFonts w:ascii="Times New Roman" w:eastAsia="Times New Roman" w:hAnsi="Times New Roman"/>
          <w:sz w:val="24"/>
          <w:szCs w:val="24"/>
        </w:rPr>
      </w:pPr>
    </w:p>
    <w:p w14:paraId="71B2FADF" w14:textId="1B3D1C4E" w:rsidR="00F87E04" w:rsidRPr="004A0122" w:rsidRDefault="00F87E04">
      <w:pPr>
        <w:pStyle w:val="NormalWeb"/>
        <w:rPr>
          <w:rFonts w:ascii="Times New Roman" w:hAnsi="Times New Roman"/>
          <w:color w:val="999999"/>
          <w:sz w:val="24"/>
          <w:szCs w:val="24"/>
        </w:rPr>
      </w:pPr>
    </w:p>
    <w:sectPr w:rsidR="00F87E04" w:rsidRPr="004A0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B322E"/>
    <w:multiLevelType w:val="multilevel"/>
    <w:tmpl w:val="BCF69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154128"/>
    <w:multiLevelType w:val="multilevel"/>
    <w:tmpl w:val="A44C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03"/>
    <w:rsid w:val="00102EC3"/>
    <w:rsid w:val="004A0122"/>
    <w:rsid w:val="00505A27"/>
    <w:rsid w:val="006E2A63"/>
    <w:rsid w:val="006F1CBA"/>
    <w:rsid w:val="00782D8D"/>
    <w:rsid w:val="009D1A55"/>
    <w:rsid w:val="00A66854"/>
    <w:rsid w:val="00AB072B"/>
    <w:rsid w:val="00B67AB5"/>
    <w:rsid w:val="00B9798B"/>
    <w:rsid w:val="00E92916"/>
    <w:rsid w:val="00EE4403"/>
    <w:rsid w:val="00F87E04"/>
    <w:rsid w:val="00FA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703A3"/>
  <w15:chartTrackingRefBased/>
  <w15:docId w15:val="{7D9B5334-EA6F-40FB-9A2D-3D5516E9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uiPriority w:val="99"/>
    <w:semiHidden/>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 w:type="paragraph" w:customStyle="1" w:styleId="AdoptionDate">
    <w:name w:val="Adoption Date"/>
    <w:qFormat/>
    <w:rsid w:val="00782D8D"/>
    <w:rPr>
      <w:rFonts w:ascii="Arial" w:hAnsi="Arial"/>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Boeck</dc:creator>
  <cp:keywords/>
  <dc:description/>
  <cp:lastModifiedBy>Dai'larin Brooks</cp:lastModifiedBy>
  <cp:revision>2</cp:revision>
  <dcterms:created xsi:type="dcterms:W3CDTF">2021-03-01T21:15:00Z</dcterms:created>
  <dcterms:modified xsi:type="dcterms:W3CDTF">2021-03-01T21:15:00Z</dcterms:modified>
</cp:coreProperties>
</file>