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D8BF" w14:textId="77777777" w:rsidR="00CA4064" w:rsidRDefault="00CA4064" w:rsidP="00CA4064">
      <w:pPr>
        <w:pStyle w:val="Heading1"/>
        <w:jc w:val="right"/>
        <w:rPr>
          <w:b/>
          <w:u w:val="none"/>
        </w:rPr>
      </w:pPr>
      <w:r>
        <w:rPr>
          <w:b/>
          <w:u w:val="none"/>
        </w:rPr>
        <w:t>Operating Policy No. 5415</w:t>
      </w:r>
    </w:p>
    <w:p w14:paraId="1BD8CF96" w14:textId="77777777" w:rsidR="00CA4064" w:rsidRPr="00CA4064" w:rsidRDefault="00CA4064" w:rsidP="00CA4064">
      <w:pPr>
        <w:jc w:val="right"/>
        <w:rPr>
          <w:b/>
        </w:rPr>
      </w:pPr>
      <w:r w:rsidRPr="00CA4064">
        <w:rPr>
          <w:b/>
        </w:rPr>
        <w:t>Human Resources</w:t>
      </w:r>
    </w:p>
    <w:p w14:paraId="67A0754F" w14:textId="77777777" w:rsidR="00CA4064" w:rsidRDefault="00CA4064" w:rsidP="00CA4064">
      <w:pPr>
        <w:pStyle w:val="Heading1"/>
        <w:rPr>
          <w:b/>
          <w:u w:val="none"/>
        </w:rPr>
      </w:pPr>
    </w:p>
    <w:p w14:paraId="11C148A8" w14:textId="77777777" w:rsidR="00CA4064" w:rsidRPr="00CA4064" w:rsidRDefault="00CA4064" w:rsidP="00CA4064">
      <w:pPr>
        <w:pStyle w:val="Heading1"/>
        <w:jc w:val="center"/>
        <w:rPr>
          <w:b/>
          <w:u w:val="none"/>
        </w:rPr>
      </w:pPr>
      <w:r w:rsidRPr="00CA4064">
        <w:rPr>
          <w:b/>
          <w:u w:val="none"/>
        </w:rPr>
        <w:t xml:space="preserve">INCLEMENT WEATHER </w:t>
      </w:r>
    </w:p>
    <w:p w14:paraId="5C9DDF07" w14:textId="77777777" w:rsidR="00B13802" w:rsidRDefault="00BA6E1F" w:rsidP="00016198">
      <w:pPr>
        <w:spacing w:before="100" w:beforeAutospacing="1" w:after="100" w:afterAutospacing="1" w:line="255" w:lineRule="atLeast"/>
      </w:pPr>
      <w:r>
        <w:t>Only the Puget Sound Educational Service District</w:t>
      </w:r>
      <w:r w:rsidR="00CA4064" w:rsidRPr="00CA4064">
        <w:t xml:space="preserve"> Superintendent or </w:t>
      </w:r>
      <w:r w:rsidR="00475459">
        <w:t>their</w:t>
      </w:r>
      <w:r>
        <w:t xml:space="preserve"> </w:t>
      </w:r>
      <w:r w:rsidR="00CA4064" w:rsidRPr="00CA4064">
        <w:t>designee has the authority to d</w:t>
      </w:r>
      <w:r>
        <w:t>eclare PSESD facilities closed when the region experiences extreme weather conditions.</w:t>
      </w:r>
    </w:p>
    <w:p w14:paraId="73E67F8F" w14:textId="2F82069B" w:rsidR="00CA4064" w:rsidRPr="00173120" w:rsidRDefault="00CA4064" w:rsidP="00B13802">
      <w:r w:rsidRPr="00CA4064">
        <w:t xml:space="preserve">If </w:t>
      </w:r>
      <w:r w:rsidR="00B56288">
        <w:t xml:space="preserve">an </w:t>
      </w:r>
      <w:r w:rsidR="00E82708">
        <w:t>employee’s work site is</w:t>
      </w:r>
      <w:r w:rsidRPr="00CA4064">
        <w:t xml:space="preserve"> open and an employee chooses not to come to work due to safety concerns</w:t>
      </w:r>
      <w:r w:rsidR="00537C05">
        <w:t>,</w:t>
      </w:r>
      <w:r w:rsidRPr="00CA4064">
        <w:t xml:space="preserve"> the employee may use annual leave</w:t>
      </w:r>
      <w:r w:rsidR="00BA6E1F">
        <w:t xml:space="preserve"> or e</w:t>
      </w:r>
      <w:r w:rsidR="00EE2B33">
        <w:t xml:space="preserve">mergency </w:t>
      </w:r>
      <w:r w:rsidR="00BA6E1F">
        <w:t>l</w:t>
      </w:r>
      <w:r w:rsidR="00EE2B33">
        <w:t>eave</w:t>
      </w:r>
      <w:r w:rsidRPr="00CA4064">
        <w:t xml:space="preserve"> </w:t>
      </w:r>
      <w:r w:rsidR="00EE2B33" w:rsidRPr="00CA4064">
        <w:t>in accordance with</w:t>
      </w:r>
      <w:r w:rsidR="00BA6E1F">
        <w:t xml:space="preserve"> the provisions contained therein</w:t>
      </w:r>
      <w:r w:rsidR="00EE2B33" w:rsidRPr="00CA4064">
        <w:t xml:space="preserve">. Employees who make a reasonable effort to arrive at the normal starting time and stay until closing or dismissed will </w:t>
      </w:r>
      <w:r w:rsidR="00BA6E1F">
        <w:t xml:space="preserve">be compensated for the day - </w:t>
      </w:r>
      <w:r w:rsidR="00BA6E1F" w:rsidRPr="00173120">
        <w:t xml:space="preserve">equivalent to his/her regular work schedule. </w:t>
      </w:r>
    </w:p>
    <w:p w14:paraId="6CB874E7" w14:textId="77777777" w:rsidR="00E82708" w:rsidRPr="00173120" w:rsidRDefault="00CA4064" w:rsidP="00B13802">
      <w:pPr>
        <w:numPr>
          <w:ilvl w:val="0"/>
          <w:numId w:val="3"/>
        </w:numPr>
      </w:pPr>
      <w:r w:rsidRPr="00173120">
        <w:t xml:space="preserve">If </w:t>
      </w:r>
      <w:r w:rsidR="00EE2B33" w:rsidRPr="00173120">
        <w:t xml:space="preserve">an </w:t>
      </w:r>
      <w:r w:rsidR="00E82708" w:rsidRPr="00173120">
        <w:t>employee’s work site</w:t>
      </w:r>
      <w:r w:rsidRPr="00173120">
        <w:t xml:space="preserve"> </w:t>
      </w:r>
      <w:r w:rsidR="00EE2B33" w:rsidRPr="00173120">
        <w:t xml:space="preserve">is </w:t>
      </w:r>
      <w:r w:rsidRPr="00173120">
        <w:t>on a late arrival schedule</w:t>
      </w:r>
      <w:r w:rsidR="00792B19" w:rsidRPr="00173120">
        <w:t>:</w:t>
      </w:r>
      <w:r w:rsidRPr="00173120">
        <w:t xml:space="preserve"> </w:t>
      </w:r>
    </w:p>
    <w:p w14:paraId="7B69A7BE" w14:textId="77777777" w:rsidR="00E82708" w:rsidRPr="00173120" w:rsidRDefault="00792B19" w:rsidP="00B13802">
      <w:pPr>
        <w:pStyle w:val="ListParagraph"/>
        <w:numPr>
          <w:ilvl w:val="0"/>
          <w:numId w:val="8"/>
        </w:numPr>
        <w:ind w:left="1350"/>
      </w:pPr>
      <w:r w:rsidRPr="00173120">
        <w:t>E</w:t>
      </w:r>
      <w:r w:rsidR="00CA4064" w:rsidRPr="00173120">
        <w:t xml:space="preserve">mployees who make a reasonable effort to arrive and stay until closing or dismissed will be paid for the full day. </w:t>
      </w:r>
      <w:r w:rsidR="00EE2B33" w:rsidRPr="00173120">
        <w:br/>
      </w:r>
    </w:p>
    <w:p w14:paraId="1F551E89" w14:textId="77777777" w:rsidR="00CA4064" w:rsidRPr="00CA4064" w:rsidRDefault="00CA4064" w:rsidP="00B13802">
      <w:pPr>
        <w:pStyle w:val="ListParagraph"/>
        <w:numPr>
          <w:ilvl w:val="0"/>
          <w:numId w:val="8"/>
        </w:numPr>
        <w:ind w:left="1350"/>
      </w:pPr>
      <w:r w:rsidRPr="00173120">
        <w:t xml:space="preserve">Employees who do not work that day must record their normal work hours as </w:t>
      </w:r>
      <w:r w:rsidR="00BA6E1F" w:rsidRPr="00173120">
        <w:t>annual leave</w:t>
      </w:r>
      <w:r w:rsidRPr="00173120">
        <w:t xml:space="preserve"> or emergency leave</w:t>
      </w:r>
      <w:r w:rsidR="00BA6E1F" w:rsidRPr="00173120">
        <w:t>, if available or applicable</w:t>
      </w:r>
      <w:r w:rsidRPr="00173120">
        <w:t>. NOTE: the delayed</w:t>
      </w:r>
      <w:r w:rsidRPr="00CA4064">
        <w:t xml:space="preserve"> start is designed to allow staff to arrive to the work location safely. However, we anticipate that staff </w:t>
      </w:r>
      <w:r w:rsidR="00537C05">
        <w:t xml:space="preserve">who </w:t>
      </w:r>
      <w:r w:rsidRPr="00CA4064">
        <w:t xml:space="preserve">choose to telecommute will work their regular schedule, e.g. 8 hours. </w:t>
      </w:r>
      <w:r w:rsidR="00EE2B33">
        <w:br/>
      </w:r>
    </w:p>
    <w:p w14:paraId="1F8120A6" w14:textId="4AD1EB44" w:rsidR="00CA4064" w:rsidRDefault="00CA4064" w:rsidP="00CE5F4D">
      <w:r w:rsidRPr="00CA4064">
        <w:t xml:space="preserve">Hours for delayed starts are based on </w:t>
      </w:r>
      <w:r w:rsidR="00475459">
        <w:t>the employee’s</w:t>
      </w:r>
      <w:r w:rsidR="00475459" w:rsidRPr="00CA4064">
        <w:t xml:space="preserve"> </w:t>
      </w:r>
      <w:r w:rsidRPr="00CA4064">
        <w:t xml:space="preserve">normal work schedule, </w:t>
      </w:r>
      <w:r w:rsidR="00335600">
        <w:t>rather than</w:t>
      </w:r>
      <w:r w:rsidRPr="00CA4064">
        <w:t xml:space="preserve"> the building’s operational hours. For example, if </w:t>
      </w:r>
      <w:r w:rsidR="00537C05">
        <w:t>an employee</w:t>
      </w:r>
      <w:r w:rsidRPr="00CA4064">
        <w:t xml:space="preserve"> customarily begin</w:t>
      </w:r>
      <w:r w:rsidR="00537C05">
        <w:t>s</w:t>
      </w:r>
      <w:r w:rsidRPr="00CA4064">
        <w:t xml:space="preserve"> work at 7 a.m.</w:t>
      </w:r>
      <w:r w:rsidR="00537C05">
        <w:t>, the employee</w:t>
      </w:r>
      <w:r w:rsidRPr="00CA4064">
        <w:t xml:space="preserve"> would arrive at work at 9 a.m. on a delayed start schedule. </w:t>
      </w:r>
    </w:p>
    <w:p w14:paraId="37CE4098" w14:textId="77777777" w:rsidR="00537C05" w:rsidRDefault="00537C05" w:rsidP="00CE5F4D">
      <w:pPr>
        <w:ind w:left="360"/>
      </w:pPr>
    </w:p>
    <w:p w14:paraId="7E90DB36" w14:textId="17E920A7" w:rsidR="00CA4064" w:rsidRDefault="00CA4064" w:rsidP="00CE5F4D">
      <w:r w:rsidRPr="00CA4064">
        <w:t xml:space="preserve">If </w:t>
      </w:r>
      <w:r w:rsidR="00537C05">
        <w:t xml:space="preserve">an employee </w:t>
      </w:r>
      <w:r w:rsidR="00EE2B33">
        <w:t xml:space="preserve">chooses to stay at home due to safety concerns, or </w:t>
      </w:r>
      <w:r w:rsidR="00537C05">
        <w:t>is</w:t>
      </w:r>
      <w:r w:rsidRPr="00CA4064">
        <w:t xml:space="preserve"> instructed by </w:t>
      </w:r>
      <w:r w:rsidR="00475459">
        <w:t>their</w:t>
      </w:r>
      <w:r w:rsidRPr="00CA4064">
        <w:t xml:space="preserve"> supervisor or department head to rem</w:t>
      </w:r>
      <w:r w:rsidR="00EE2B33">
        <w:t xml:space="preserve">ain home due to safety concerns, </w:t>
      </w:r>
      <w:r w:rsidR="00537C05">
        <w:t>the employee</w:t>
      </w:r>
      <w:r w:rsidRPr="00CA4064">
        <w:t xml:space="preserve"> </w:t>
      </w:r>
      <w:r w:rsidR="00EE2B33">
        <w:t xml:space="preserve">may work from home provided </w:t>
      </w:r>
      <w:r w:rsidR="00475459">
        <w:t>they</w:t>
      </w:r>
      <w:r w:rsidR="00EE2B33">
        <w:t xml:space="preserve"> </w:t>
      </w:r>
      <w:r w:rsidRPr="00CA4064">
        <w:t xml:space="preserve">received </w:t>
      </w:r>
      <w:r w:rsidR="00475459">
        <w:t>their</w:t>
      </w:r>
      <w:r w:rsidR="00537C05">
        <w:t xml:space="preserve"> supervisor’s </w:t>
      </w:r>
      <w:r w:rsidR="00475459">
        <w:t xml:space="preserve">prior </w:t>
      </w:r>
      <w:r w:rsidR="00EE2B33">
        <w:t>approval. T</w:t>
      </w:r>
      <w:r w:rsidR="00537C05">
        <w:t>he employee</w:t>
      </w:r>
      <w:r w:rsidRPr="00CA4064">
        <w:t xml:space="preserve"> </w:t>
      </w:r>
      <w:r w:rsidR="00EE2B33">
        <w:t>should</w:t>
      </w:r>
      <w:r w:rsidRPr="00CA4064">
        <w:t xml:space="preserve"> record the hours as regular work hours. </w:t>
      </w:r>
    </w:p>
    <w:p w14:paraId="16369836" w14:textId="77777777" w:rsidR="00E82708" w:rsidRDefault="00E82708" w:rsidP="00B56288"/>
    <w:p w14:paraId="477A112E" w14:textId="77777777" w:rsidR="00CA4064" w:rsidRPr="00173120" w:rsidRDefault="00CE5F4D" w:rsidP="00BA6E1F">
      <w:r>
        <w:t>Staff should refer to the table below which provides a general</w:t>
      </w:r>
      <w:r w:rsidR="00CA4064" w:rsidRPr="00CA4064">
        <w:t xml:space="preserve"> overview of how the policy applies based on </w:t>
      </w:r>
      <w:r w:rsidR="00BA6E1F">
        <w:t xml:space="preserve">specific types </w:t>
      </w:r>
      <w:r w:rsidR="00CA4064" w:rsidRPr="00CA4064">
        <w:t>of employee</w:t>
      </w:r>
      <w:r w:rsidR="00BA6E1F">
        <w:t>s</w:t>
      </w:r>
      <w:r w:rsidR="00CA4064" w:rsidRPr="00CA4064">
        <w:t>.</w:t>
      </w:r>
      <w:r w:rsidR="00BA6E1F">
        <w:t xml:space="preserve"> </w:t>
      </w:r>
      <w:r w:rsidR="00173120">
        <w:t>Professional Support Association should consult the bargaining agreement</w:t>
      </w:r>
      <w:r w:rsidR="00BA6E1F" w:rsidRPr="00173120">
        <w:t xml:space="preserve"> for variances. </w:t>
      </w:r>
    </w:p>
    <w:p w14:paraId="53019AFA" w14:textId="67530A57" w:rsidR="00475459" w:rsidRDefault="00475459" w:rsidP="00475459">
      <w:pPr>
        <w:spacing w:before="100" w:beforeAutospacing="1" w:after="100" w:afterAutospacing="1" w:line="255" w:lineRule="atLeast"/>
      </w:pPr>
      <w:r w:rsidRPr="00CA4064">
        <w:t xml:space="preserve">Employees previously requesting annual, sick leave or other leave during “closed” days will not be required to record the hours as such. </w:t>
      </w:r>
    </w:p>
    <w:p w14:paraId="057C066A" w14:textId="77777777" w:rsidR="00B13802" w:rsidRDefault="00B13802">
      <w:r>
        <w:rPr>
          <w:b/>
          <w:bCs/>
        </w:rPr>
        <w:br w:type="page"/>
      </w:r>
    </w:p>
    <w:tbl>
      <w:tblPr>
        <w:tblW w:w="101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55"/>
        <w:gridCol w:w="5267"/>
        <w:gridCol w:w="3240"/>
      </w:tblGrid>
      <w:tr w:rsidR="00CA4064" w:rsidRPr="00CA4064" w14:paraId="33F3C3FA" w14:textId="77777777" w:rsidTr="00B13802">
        <w:trPr>
          <w:tblCellSpacing w:w="7" w:type="dxa"/>
        </w:trPr>
        <w:tc>
          <w:tcPr>
            <w:tcW w:w="1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F94A3" w14:textId="7C70911D" w:rsidR="00CA4064" w:rsidRPr="00CA4064" w:rsidRDefault="00CA4064" w:rsidP="00B13802">
            <w:pPr>
              <w:pStyle w:val="pagesubhead-blu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Employee Type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5F2A0" w14:textId="77777777" w:rsidR="00CA4064" w:rsidRPr="00CA4064" w:rsidRDefault="00BA6E1F" w:rsidP="00B13802">
            <w:pPr>
              <w:pStyle w:val="pagesubhead-blu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Office or Work </w:t>
            </w:r>
            <w:r w:rsidR="00CA4064" w:rsidRPr="00CA4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Site Closure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69D3EB" w14:textId="77777777" w:rsidR="00CA4064" w:rsidRPr="00CA4064" w:rsidRDefault="00CA4064" w:rsidP="00B13802">
            <w:pPr>
              <w:pStyle w:val="pagesubhead-blu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Office</w:t>
            </w:r>
            <w:r w:rsidR="00BA6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 Work </w:t>
            </w:r>
            <w:r w:rsidRPr="00CA4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Site Open, </w:t>
            </w:r>
            <w:r w:rsidRPr="00BA6E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but employee is unable to get to work due to weather/road conditions</w:t>
            </w:r>
          </w:p>
        </w:tc>
      </w:tr>
      <w:tr w:rsidR="00CA4064" w:rsidRPr="00CA4064" w14:paraId="42B02F4F" w14:textId="77777777" w:rsidTr="00B13802">
        <w:trPr>
          <w:trHeight w:val="2190"/>
          <w:tblCellSpacing w:w="7" w:type="dxa"/>
        </w:trPr>
        <w:tc>
          <w:tcPr>
            <w:tcW w:w="1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20CFD" w14:textId="77777777" w:rsidR="00CA4064" w:rsidRPr="00CA4064" w:rsidRDefault="00CA4064" w:rsidP="00A8605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Full-Time &amp; </w:t>
            </w:r>
          </w:p>
          <w:p w14:paraId="2EA8FE1C" w14:textId="12606E5B" w:rsidR="00CA4064" w:rsidRPr="00CA4064" w:rsidRDefault="00CA4064" w:rsidP="00A8605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Part-Time</w:t>
            </w:r>
            <w:r w:rsidR="00B138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year</w:t>
            </w:r>
            <w:r w:rsidR="0030494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round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9347E" w14:textId="50DDADA9" w:rsidR="00CA4064" w:rsidRPr="00CA4064" w:rsidRDefault="00CA4064" w:rsidP="0047545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Record "office closed" on your </w:t>
            </w:r>
            <w:r w:rsidR="00475459">
              <w:rPr>
                <w:rFonts w:ascii="Times New Roman" w:hAnsi="Times New Roman"/>
                <w:color w:val="auto"/>
                <w:sz w:val="24"/>
                <w:szCs w:val="24"/>
              </w:rPr>
              <w:t>Cost Allocation Form.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30A69D" w14:textId="54910E20" w:rsidR="00B13802" w:rsidRDefault="00CA4064" w:rsidP="00B13802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May use accrued vacation, sick (if ill) or emergency leave. </w:t>
            </w:r>
          </w:p>
          <w:p w14:paraId="5BCF81B7" w14:textId="2A371516" w:rsidR="00CA4064" w:rsidRPr="00CA4064" w:rsidRDefault="00CA4064" w:rsidP="00B13802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Employees eligible to telecommute may do so with the approval of their supervisor, </w:t>
            </w:r>
            <w:r w:rsidR="004754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may </w:t>
            </w: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be assigned to an alternative work location</w:t>
            </w:r>
            <w:r w:rsidR="00537C0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or receive an alternative duty assignment.</w:t>
            </w:r>
          </w:p>
        </w:tc>
      </w:tr>
      <w:tr w:rsidR="00CA4064" w:rsidRPr="00CA4064" w14:paraId="349BCD5F" w14:textId="77777777" w:rsidTr="00B13802">
        <w:trPr>
          <w:trHeight w:val="3293"/>
          <w:tblCellSpacing w:w="7" w:type="dxa"/>
        </w:trPr>
        <w:tc>
          <w:tcPr>
            <w:tcW w:w="1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3BDC4" w14:textId="25F9A238" w:rsidR="00CA4064" w:rsidRPr="00CA4064" w:rsidRDefault="00CA4064" w:rsidP="00B1380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School schedule</w:t>
            </w: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(applies to union and non-union)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400C4" w14:textId="77777777" w:rsidR="00CA4064" w:rsidRPr="00CA4064" w:rsidRDefault="00CA4064" w:rsidP="00B13802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Employees who </w:t>
            </w:r>
          </w:p>
          <w:p w14:paraId="63C53CE5" w14:textId="77777777" w:rsidR="00475459" w:rsidRDefault="00CA4064" w:rsidP="00B13802">
            <w:pPr>
              <w:numPr>
                <w:ilvl w:val="0"/>
                <w:numId w:val="5"/>
              </w:numPr>
            </w:pPr>
            <w:r w:rsidRPr="00CA4064">
              <w:t xml:space="preserve">work at a subcontractor worksite </w:t>
            </w:r>
          </w:p>
          <w:p w14:paraId="437E1CB8" w14:textId="20BE177A" w:rsidR="00CA4064" w:rsidRPr="00CA4064" w:rsidRDefault="00CA4064" w:rsidP="00B13802">
            <w:pPr>
              <w:numPr>
                <w:ilvl w:val="0"/>
                <w:numId w:val="5"/>
              </w:numPr>
            </w:pPr>
            <w:r w:rsidRPr="00CA4064">
              <w:t xml:space="preserve">drive a transportation route </w:t>
            </w:r>
          </w:p>
          <w:p w14:paraId="58209D8D" w14:textId="7997E1C6" w:rsidR="00CA4064" w:rsidRPr="00CA4064" w:rsidRDefault="00CA4064" w:rsidP="00B13802">
            <w:pPr>
              <w:numPr>
                <w:ilvl w:val="0"/>
                <w:numId w:val="5"/>
              </w:numPr>
            </w:pPr>
            <w:r w:rsidRPr="00CA4064">
              <w:t>work at a PSESD program site (Renton</w:t>
            </w:r>
            <w:r w:rsidR="00B13802">
              <w:t xml:space="preserve"> </w:t>
            </w:r>
            <w:r w:rsidRPr="00CA4064">
              <w:t>/</w:t>
            </w:r>
            <w:r w:rsidR="00B13802">
              <w:t xml:space="preserve"> Puyallup </w:t>
            </w:r>
            <w:r w:rsidRPr="00CA4064">
              <w:t>/</w:t>
            </w:r>
            <w:r w:rsidR="00B13802">
              <w:t xml:space="preserve"> </w:t>
            </w:r>
            <w:r w:rsidRPr="00CA4064">
              <w:t>Educare</w:t>
            </w:r>
            <w:r w:rsidR="00B13802">
              <w:t xml:space="preserve"> </w:t>
            </w:r>
            <w:r w:rsidRPr="00CA4064">
              <w:t>/</w:t>
            </w:r>
            <w:r w:rsidR="00B13802">
              <w:t xml:space="preserve"> </w:t>
            </w:r>
            <w:r w:rsidRPr="00CA4064">
              <w:t xml:space="preserve">Highline, etc.) </w:t>
            </w:r>
          </w:p>
          <w:p w14:paraId="27A3E3D8" w14:textId="611A7BE5" w:rsidR="00B13802" w:rsidRPr="00CA4064" w:rsidRDefault="00CA4064" w:rsidP="00B13802">
            <w:pPr>
              <w:pStyle w:val="NormalWeb"/>
              <w:spacing w:before="0" w:beforeAutospacing="0" w:after="12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may be required to make up the day(s) on the day(s) that the center/site or supervisor schedules for its make-up day(s), be reassigned to an alternative work location, receive an alternative duty assignment, or attend professional </w:t>
            </w:r>
            <w:r w:rsidR="00BA6E1F">
              <w:rPr>
                <w:rFonts w:ascii="Times New Roman" w:hAnsi="Times New Roman"/>
                <w:color w:val="auto"/>
                <w:sz w:val="24"/>
                <w:szCs w:val="24"/>
              </w:rPr>
              <w:t>learning</w:t>
            </w: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14:paraId="46B677B0" w14:textId="500FDBAE" w:rsidR="00B13802" w:rsidRDefault="00CA4064" w:rsidP="00B13802">
            <w:pPr>
              <w:pStyle w:val="NormalWeb"/>
              <w:spacing w:before="0" w:beforeAutospacing="0" w:after="12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Makeup days must be completed prior to the end of the current fiscal year. Scheduling of such make</w:t>
            </w:r>
            <w:r w:rsidR="0047545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up time will be done in coordination between the employee and supervisor except when a center/site has determined its calendar make-up the days.</w:t>
            </w:r>
          </w:p>
          <w:p w14:paraId="0A4EB547" w14:textId="0B6B73BD" w:rsidR="00B13802" w:rsidRDefault="00CA4064" w:rsidP="00B13802">
            <w:pPr>
              <w:pStyle w:val="NormalWeb"/>
              <w:spacing w:before="0" w:beforeAutospacing="0" w:after="12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Employees must report make-up days by completing an </w:t>
            </w:r>
            <w:hyperlink r:id="rId5" w:history="1">
              <w:r w:rsidRPr="00CA406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Alternative Assignment form</w:t>
              </w:r>
            </w:hyperlink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. Make-up days should be scheduled in a manner that does not result in overtime.</w:t>
            </w:r>
          </w:p>
          <w:p w14:paraId="6D97842B" w14:textId="739C2B05" w:rsidR="00CA4064" w:rsidRPr="00CA4064" w:rsidRDefault="00CA4064" w:rsidP="00B13802">
            <w:pPr>
              <w:pStyle w:val="NormalWeb"/>
              <w:spacing w:before="0" w:beforeAutospacing="0" w:after="12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Employees eligible to telecommute may do so with the approval of their supervisor.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5C304E" w14:textId="3443BEC0" w:rsidR="00B13802" w:rsidRDefault="00537C05" w:rsidP="00B13802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employee will work </w:t>
            </w:r>
            <w:r w:rsidR="00CA4064"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his/her</w:t>
            </w:r>
            <w:r w:rsidR="00CA4064"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supervisor to make-up the missed time if not reassigned to an alternative work location or an alternative duty assignment or </w:t>
            </w:r>
            <w:r w:rsidR="00475459">
              <w:rPr>
                <w:rFonts w:ascii="Times New Roman" w:hAnsi="Times New Roman"/>
                <w:color w:val="auto"/>
                <w:sz w:val="24"/>
                <w:szCs w:val="24"/>
              </w:rPr>
              <w:t>they</w:t>
            </w:r>
            <w:r w:rsidR="00CA4064"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may use </w:t>
            </w:r>
            <w:r w:rsidR="00475459">
              <w:rPr>
                <w:rFonts w:ascii="Times New Roman" w:hAnsi="Times New Roman"/>
                <w:color w:val="auto"/>
                <w:sz w:val="24"/>
                <w:szCs w:val="24"/>
              </w:rPr>
              <w:t>their</w:t>
            </w:r>
            <w:r w:rsidR="00475459"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A4064" w:rsidRPr="00CA40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accrued sick (if ill) or emergency leave. Record the applicable information on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requisite </w:t>
            </w:r>
            <w:r w:rsidR="00CA4064" w:rsidRPr="00CA4064">
              <w:rPr>
                <w:rFonts w:ascii="Times New Roman" w:hAnsi="Times New Roman"/>
                <w:color w:val="auto"/>
                <w:sz w:val="24"/>
                <w:szCs w:val="24"/>
              </w:rPr>
              <w:t>timesheet.</w:t>
            </w:r>
          </w:p>
          <w:p w14:paraId="68B64C58" w14:textId="57B459F8" w:rsidR="00CA4064" w:rsidRPr="00CA4064" w:rsidRDefault="00CA4064" w:rsidP="00B13802">
            <w:pPr>
              <w:pStyle w:val="NormalWeb"/>
              <w:spacing w:before="0" w:beforeAutospacing="0" w:after="12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064">
              <w:rPr>
                <w:rFonts w:ascii="Times New Roman" w:hAnsi="Times New Roman"/>
                <w:color w:val="auto"/>
                <w:sz w:val="24"/>
                <w:szCs w:val="24"/>
              </w:rPr>
              <w:t>Employees eligible to telecommute may do so with the approval of their supervisor.</w:t>
            </w:r>
          </w:p>
        </w:tc>
      </w:tr>
    </w:tbl>
    <w:p w14:paraId="68392886" w14:textId="77777777" w:rsidR="00CE5F4D" w:rsidRDefault="00CE5F4D" w:rsidP="00537C05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3D4783D" w14:textId="77777777" w:rsidR="00CA4064" w:rsidRDefault="00537C05" w:rsidP="00537C05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Revised: October 2012</w:t>
      </w:r>
    </w:p>
    <w:p w14:paraId="12BACC00" w14:textId="77777777" w:rsidR="00475459" w:rsidRDefault="00537C05" w:rsidP="00537C05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Revised: </w:t>
      </w:r>
      <w:r w:rsidR="00BA6E1F">
        <w:rPr>
          <w:rFonts w:ascii="Times New Roman" w:hAnsi="Times New Roman"/>
          <w:color w:val="auto"/>
          <w:sz w:val="24"/>
          <w:szCs w:val="24"/>
        </w:rPr>
        <w:t>February</w:t>
      </w:r>
      <w:r w:rsidR="00B56288">
        <w:rPr>
          <w:rFonts w:ascii="Times New Roman" w:hAnsi="Times New Roman"/>
          <w:color w:val="auto"/>
          <w:sz w:val="24"/>
          <w:szCs w:val="24"/>
        </w:rPr>
        <w:t xml:space="preserve"> 2014</w:t>
      </w:r>
    </w:p>
    <w:p w14:paraId="3915BB04" w14:textId="1DDDEC1A" w:rsidR="00537C05" w:rsidRDefault="00475459" w:rsidP="00537C05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Revised: </w:t>
      </w:r>
      <w:r w:rsidR="00016198">
        <w:rPr>
          <w:rFonts w:ascii="Times New Roman" w:hAnsi="Times New Roman"/>
          <w:color w:val="auto"/>
          <w:sz w:val="24"/>
          <w:szCs w:val="24"/>
        </w:rPr>
        <w:t>March</w:t>
      </w:r>
      <w:r w:rsidR="003E7186">
        <w:rPr>
          <w:rFonts w:ascii="Times New Roman" w:hAnsi="Times New Roman"/>
          <w:color w:val="auto"/>
          <w:sz w:val="24"/>
          <w:szCs w:val="24"/>
        </w:rPr>
        <w:t xml:space="preserve"> 2020</w:t>
      </w:r>
    </w:p>
    <w:p w14:paraId="11B44FDD" w14:textId="77777777" w:rsidR="00BA6E1F" w:rsidRDefault="00BA6E1F" w:rsidP="00BA6E1F">
      <w:pPr>
        <w:pStyle w:val="NormalWeb"/>
        <w:spacing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Relevant PSESD Board Governance Policies:</w:t>
      </w:r>
      <w:r>
        <w:rPr>
          <w:rFonts w:ascii="Times New Roman" w:hAnsi="Times New Roman"/>
          <w:color w:val="auto"/>
          <w:sz w:val="24"/>
          <w:szCs w:val="24"/>
        </w:rPr>
        <w:tab/>
        <w:t>EL 4, Treatment of Staff</w:t>
      </w:r>
    </w:p>
    <w:p w14:paraId="4D6888BB" w14:textId="0EDE6460" w:rsidR="004D1D4C" w:rsidRDefault="00BA6E1F" w:rsidP="004D1D4C">
      <w:pPr>
        <w:pStyle w:val="NormalWeb"/>
        <w:tabs>
          <w:tab w:val="left" w:pos="2700"/>
        </w:tabs>
        <w:ind w:left="3060" w:hanging="23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Cross References: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Operating Policy No. </w:t>
      </w:r>
      <w:r w:rsidR="004D1D4C">
        <w:rPr>
          <w:rFonts w:ascii="Times New Roman" w:hAnsi="Times New Roman"/>
          <w:color w:val="auto"/>
          <w:sz w:val="24"/>
          <w:szCs w:val="24"/>
        </w:rPr>
        <w:t>1000</w:t>
      </w:r>
      <w:r w:rsidR="004D1D4C">
        <w:rPr>
          <w:rFonts w:ascii="Times New Roman" w:hAnsi="Times New Roman"/>
          <w:color w:val="auto"/>
          <w:sz w:val="24"/>
          <w:szCs w:val="24"/>
        </w:rPr>
        <w:tab/>
        <w:t>Non Discrimination</w:t>
      </w:r>
      <w:r w:rsidR="004D1D4C">
        <w:rPr>
          <w:rFonts w:ascii="Times New Roman" w:hAnsi="Times New Roman"/>
          <w:color w:val="auto"/>
          <w:sz w:val="24"/>
          <w:szCs w:val="24"/>
        </w:rPr>
        <w:br/>
        <w:t>Operating Policy No. 1010</w:t>
      </w:r>
      <w:r w:rsidR="004D1D4C">
        <w:rPr>
          <w:rFonts w:ascii="Times New Roman" w:hAnsi="Times New Roman"/>
          <w:color w:val="auto"/>
          <w:sz w:val="24"/>
          <w:szCs w:val="24"/>
        </w:rPr>
        <w:tab/>
        <w:t>Racial Equity</w:t>
      </w:r>
      <w:r w:rsidR="004D1D4C">
        <w:rPr>
          <w:rFonts w:ascii="Times New Roman" w:hAnsi="Times New Roman"/>
          <w:color w:val="auto"/>
          <w:sz w:val="24"/>
          <w:szCs w:val="24"/>
        </w:rPr>
        <w:br/>
        <w:t>Operating Policy No. 5400</w:t>
      </w:r>
      <w:r w:rsidR="00B13802">
        <w:rPr>
          <w:rFonts w:ascii="Times New Roman" w:hAnsi="Times New Roman"/>
          <w:color w:val="auto"/>
          <w:sz w:val="24"/>
          <w:szCs w:val="24"/>
        </w:rPr>
        <w:tab/>
      </w:r>
      <w:bookmarkStart w:id="0" w:name="_GoBack"/>
      <w:bookmarkEnd w:id="0"/>
      <w:r w:rsidR="004D1D4C">
        <w:rPr>
          <w:rFonts w:ascii="Times New Roman" w:hAnsi="Times New Roman"/>
          <w:color w:val="auto"/>
          <w:sz w:val="24"/>
          <w:szCs w:val="24"/>
        </w:rPr>
        <w:t>Personnel Leaves</w:t>
      </w:r>
    </w:p>
    <w:sectPr w:rsidR="004D1D4C" w:rsidSect="00B138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5AB"/>
    <w:multiLevelType w:val="multilevel"/>
    <w:tmpl w:val="1C06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93A59"/>
    <w:multiLevelType w:val="multilevel"/>
    <w:tmpl w:val="451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D0467"/>
    <w:multiLevelType w:val="multilevel"/>
    <w:tmpl w:val="304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26A7E"/>
    <w:multiLevelType w:val="hybridMultilevel"/>
    <w:tmpl w:val="5B7A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4AF"/>
    <w:multiLevelType w:val="hybridMultilevel"/>
    <w:tmpl w:val="6DF48E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5E55C6"/>
    <w:multiLevelType w:val="hybridMultilevel"/>
    <w:tmpl w:val="B2CE0F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B62AC0"/>
    <w:multiLevelType w:val="multilevel"/>
    <w:tmpl w:val="9A0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D28EA"/>
    <w:multiLevelType w:val="multilevel"/>
    <w:tmpl w:val="4190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10BD3"/>
    <w:multiLevelType w:val="multilevel"/>
    <w:tmpl w:val="D206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64"/>
    <w:rsid w:val="00016198"/>
    <w:rsid w:val="000A0878"/>
    <w:rsid w:val="00173120"/>
    <w:rsid w:val="001869F7"/>
    <w:rsid w:val="00304949"/>
    <w:rsid w:val="00335600"/>
    <w:rsid w:val="003E7186"/>
    <w:rsid w:val="00475459"/>
    <w:rsid w:val="004D1D4C"/>
    <w:rsid w:val="005370EC"/>
    <w:rsid w:val="00537C05"/>
    <w:rsid w:val="00792B19"/>
    <w:rsid w:val="00AC6E20"/>
    <w:rsid w:val="00B13802"/>
    <w:rsid w:val="00B174E9"/>
    <w:rsid w:val="00B56288"/>
    <w:rsid w:val="00BA6E1F"/>
    <w:rsid w:val="00BB5A1D"/>
    <w:rsid w:val="00C63BCB"/>
    <w:rsid w:val="00C661E2"/>
    <w:rsid w:val="00CA4064"/>
    <w:rsid w:val="00CE5F4D"/>
    <w:rsid w:val="00E82708"/>
    <w:rsid w:val="00EE2B33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9AD2E"/>
  <w15:docId w15:val="{86AEE4E0-9ED5-48D5-8E2C-49D9490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0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064"/>
    <w:pPr>
      <w:keepNext/>
      <w:outlineLvl w:val="0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406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rsid w:val="00CA4064"/>
    <w:rPr>
      <w:rFonts w:cs="Times New Roman"/>
      <w:color w:val="006699"/>
      <w:u w:val="none"/>
      <w:effect w:val="none"/>
    </w:rPr>
  </w:style>
  <w:style w:type="paragraph" w:styleId="NormalWeb">
    <w:name w:val="Normal (Web)"/>
    <w:basedOn w:val="Normal"/>
    <w:uiPriority w:val="99"/>
    <w:rsid w:val="00CA4064"/>
    <w:pPr>
      <w:spacing w:before="100" w:beforeAutospacing="1" w:after="100" w:afterAutospacing="1" w:line="225" w:lineRule="atLeast"/>
    </w:pPr>
    <w:rPr>
      <w:rFonts w:ascii="Verdana" w:eastAsia="Times New Roman" w:hAnsi="Verdana"/>
      <w:color w:val="666666"/>
      <w:sz w:val="17"/>
      <w:szCs w:val="17"/>
    </w:rPr>
  </w:style>
  <w:style w:type="paragraph" w:customStyle="1" w:styleId="pagesubhead-blue">
    <w:name w:val="pagesubhead-blue"/>
    <w:basedOn w:val="Normal"/>
    <w:uiPriority w:val="99"/>
    <w:rsid w:val="00CA4064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66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5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45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psesd.org/news/documents/AlternativeAssignment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Denyse Guthrie</cp:lastModifiedBy>
  <cp:revision>7</cp:revision>
  <cp:lastPrinted>2014-02-19T21:21:00Z</cp:lastPrinted>
  <dcterms:created xsi:type="dcterms:W3CDTF">2020-02-26T02:05:00Z</dcterms:created>
  <dcterms:modified xsi:type="dcterms:W3CDTF">2020-03-20T17:31:00Z</dcterms:modified>
</cp:coreProperties>
</file>