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25" w:rsidRPr="00672FF5" w:rsidRDefault="00AB553C" w:rsidP="00773960">
      <w:pPr>
        <w:pStyle w:val="Heading1"/>
      </w:pPr>
      <w:r w:rsidRPr="00672FF5">
        <w:t>Sunnycrest Elementary</w:t>
      </w:r>
      <w:r w:rsidR="004C6BCF" w:rsidRPr="00672FF5">
        <w:t xml:space="preserve"> School</w:t>
      </w:r>
    </w:p>
    <w:p w:rsidR="00CC1025" w:rsidRPr="00672FF5" w:rsidRDefault="00CC1025" w:rsidP="00CC1025">
      <w:pPr>
        <w:pStyle w:val="Heading1"/>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152"/>
      </w:tblGrid>
      <w:tr w:rsidR="00CC1025" w:rsidRPr="00672FF5" w:rsidTr="00481154">
        <w:trPr>
          <w:trHeight w:val="914"/>
        </w:trPr>
        <w:tc>
          <w:tcPr>
            <w:tcW w:w="10152" w:type="dxa"/>
          </w:tcPr>
          <w:p w:rsidR="00CC1025" w:rsidRPr="00672FF5" w:rsidRDefault="00E279A0" w:rsidP="00965E3A">
            <w:pPr>
              <w:pStyle w:val="NormalWeb"/>
              <w:spacing w:before="0" w:beforeAutospacing="0" w:after="0" w:afterAutospacing="0"/>
              <w:rPr>
                <w:rFonts w:ascii="Times New Roman" w:hAnsi="Times New Roman"/>
                <w:color w:val="auto"/>
                <w:sz w:val="24"/>
                <w:szCs w:val="24"/>
              </w:rPr>
            </w:pPr>
            <w:r w:rsidRPr="00672FF5">
              <w:rPr>
                <w:rFonts w:ascii="Times New Roman" w:hAnsi="Times New Roman"/>
                <w:color w:val="auto"/>
                <w:sz w:val="24"/>
                <w:szCs w:val="24"/>
              </w:rPr>
              <w:t>The 21</w:t>
            </w:r>
            <w:r w:rsidRPr="00672FF5">
              <w:rPr>
                <w:rFonts w:ascii="Times New Roman" w:hAnsi="Times New Roman"/>
                <w:color w:val="auto"/>
                <w:sz w:val="24"/>
                <w:szCs w:val="24"/>
                <w:vertAlign w:val="superscript"/>
              </w:rPr>
              <w:t>st</w:t>
            </w:r>
            <w:r w:rsidRPr="00672FF5">
              <w:rPr>
                <w:rFonts w:ascii="Times New Roman" w:hAnsi="Times New Roman"/>
                <w:color w:val="auto"/>
                <w:sz w:val="24"/>
                <w:szCs w:val="24"/>
              </w:rPr>
              <w:t xml:space="preserve"> Century Community Learning Centers program supports community learning centers that provide academic enrichment opportunities during non-school hours for students.  The program helps studen</w:t>
            </w:r>
            <w:r w:rsidR="00EB17DF" w:rsidRPr="00672FF5">
              <w:rPr>
                <w:rFonts w:ascii="Times New Roman" w:hAnsi="Times New Roman"/>
                <w:color w:val="auto"/>
                <w:sz w:val="24"/>
                <w:szCs w:val="24"/>
              </w:rPr>
              <w:t xml:space="preserve">ts meet state and local </w:t>
            </w:r>
            <w:r w:rsidRPr="00672FF5">
              <w:rPr>
                <w:rFonts w:ascii="Times New Roman" w:hAnsi="Times New Roman"/>
                <w:color w:val="auto"/>
                <w:sz w:val="24"/>
                <w:szCs w:val="24"/>
              </w:rPr>
              <w:t>standards in core academic subjects, such as reading and math; offers students enrichment activities that complement regular academic programs; and offers educational services to the families of participating students.  Funding is provided by the federal government and technical support is given through the Washington Office of Superintendent of Public Instruction.</w:t>
            </w:r>
            <w:r w:rsidR="006773CB" w:rsidRPr="00672FF5">
              <w:rPr>
                <w:rFonts w:ascii="Times New Roman" w:hAnsi="Times New Roman"/>
                <w:color w:val="auto"/>
                <w:sz w:val="24"/>
                <w:szCs w:val="24"/>
              </w:rPr>
              <w:t xml:space="preserve"> </w:t>
            </w:r>
          </w:p>
        </w:tc>
      </w:tr>
    </w:tbl>
    <w:p w:rsidR="00CC1025" w:rsidRPr="00672FF5" w:rsidRDefault="00CC1025"/>
    <w:p w:rsidR="001C50D1" w:rsidRPr="00672FF5" w:rsidRDefault="001C50D1" w:rsidP="00CC1025">
      <w:pPr>
        <w:rPr>
          <w:b/>
        </w:rPr>
      </w:pPr>
    </w:p>
    <w:p w:rsidR="00CC1025" w:rsidRPr="00672FF5" w:rsidRDefault="00CC1025" w:rsidP="00CC1025">
      <w:pPr>
        <w:rPr>
          <w:b/>
        </w:rPr>
      </w:pPr>
      <w:r w:rsidRPr="00672FF5">
        <w:rPr>
          <w:b/>
        </w:rPr>
        <w:t xml:space="preserve">Positive evaluation results </w:t>
      </w:r>
      <w:r w:rsidR="00E279A0" w:rsidRPr="00672FF5">
        <w:rPr>
          <w:b/>
        </w:rPr>
        <w:t>from the 20</w:t>
      </w:r>
      <w:r w:rsidR="005E70DE" w:rsidRPr="00672FF5">
        <w:rPr>
          <w:b/>
        </w:rPr>
        <w:t>1</w:t>
      </w:r>
      <w:r w:rsidR="00A21459" w:rsidRPr="00672FF5">
        <w:rPr>
          <w:b/>
        </w:rPr>
        <w:t>8-19</w:t>
      </w:r>
      <w:r w:rsidR="00E279A0" w:rsidRPr="00672FF5">
        <w:rPr>
          <w:b/>
        </w:rPr>
        <w:t xml:space="preserve"> school year </w:t>
      </w:r>
      <w:r w:rsidRPr="00672FF5">
        <w:rPr>
          <w:b/>
        </w:rPr>
        <w:t xml:space="preserve">show </w:t>
      </w:r>
      <w:r w:rsidR="00E279A0" w:rsidRPr="00672FF5">
        <w:rPr>
          <w:b/>
        </w:rPr>
        <w:t>that the 21</w:t>
      </w:r>
      <w:r w:rsidR="00E279A0" w:rsidRPr="00672FF5">
        <w:rPr>
          <w:b/>
          <w:vertAlign w:val="superscript"/>
        </w:rPr>
        <w:t>st</w:t>
      </w:r>
      <w:r w:rsidR="00E279A0" w:rsidRPr="00672FF5">
        <w:rPr>
          <w:b/>
        </w:rPr>
        <w:t xml:space="preserve"> CCLC program</w:t>
      </w:r>
      <w:r w:rsidRPr="00672FF5">
        <w:rPr>
          <w:b/>
        </w:rPr>
        <w:t>:</w:t>
      </w:r>
    </w:p>
    <w:p w:rsidR="00CC1025" w:rsidRPr="00672FF5" w:rsidRDefault="00CC1025" w:rsidP="00B81287">
      <w:pPr>
        <w:rPr>
          <w:sz w:val="22"/>
          <w:szCs w:val="22"/>
        </w:rPr>
      </w:pPr>
    </w:p>
    <w:p w:rsidR="00C23D3F" w:rsidRPr="00672FF5" w:rsidRDefault="00C23D3F" w:rsidP="00B81287">
      <w:pPr>
        <w:rPr>
          <w:sz w:val="22"/>
          <w:szCs w:val="22"/>
        </w:rPr>
        <w:sectPr w:rsidR="00C23D3F" w:rsidRPr="00672FF5" w:rsidSect="00941C96">
          <w:footerReference w:type="default" r:id="rId7"/>
          <w:type w:val="continuous"/>
          <w:pgSz w:w="12240" w:h="15840"/>
          <w:pgMar w:top="1152" w:right="1152" w:bottom="1152" w:left="1152" w:header="720" w:footer="720" w:gutter="0"/>
          <w:cols w:space="720"/>
          <w:docGrid w:linePitch="360"/>
        </w:sectPr>
      </w:pPr>
    </w:p>
    <w:p w:rsidR="00DD1522" w:rsidRPr="00672FF5" w:rsidRDefault="00DD1522" w:rsidP="00704CAC">
      <w:pPr>
        <w:pStyle w:val="ListParagraph"/>
        <w:numPr>
          <w:ilvl w:val="0"/>
          <w:numId w:val="13"/>
        </w:numPr>
        <w:ind w:left="360"/>
      </w:pPr>
      <w:r w:rsidRPr="00672FF5">
        <w:rPr>
          <w:b/>
        </w:rPr>
        <w:t xml:space="preserve">Serves students in need of support.  </w:t>
      </w:r>
      <w:r w:rsidR="00925117" w:rsidRPr="00672FF5">
        <w:t xml:space="preserve">The program served </w:t>
      </w:r>
      <w:r w:rsidR="00704CAC" w:rsidRPr="00672FF5">
        <w:t>1</w:t>
      </w:r>
      <w:r w:rsidR="00D36855" w:rsidRPr="00672FF5">
        <w:t>45</w:t>
      </w:r>
      <w:r w:rsidRPr="00672FF5">
        <w:t xml:space="preserve"> students.  30 days of attendance is believed to be the threshold for program effectiveness.</w:t>
      </w:r>
      <w:r w:rsidR="00704CAC" w:rsidRPr="00672FF5">
        <w:t xml:space="preserve">  </w:t>
      </w:r>
      <w:r w:rsidR="00D36855" w:rsidRPr="00672FF5">
        <w:t>42</w:t>
      </w:r>
      <w:r w:rsidR="00704CAC" w:rsidRPr="00672FF5">
        <w:t xml:space="preserve"> students or </w:t>
      </w:r>
      <w:r w:rsidR="00D36855" w:rsidRPr="00672FF5">
        <w:t>29</w:t>
      </w:r>
      <w:r w:rsidR="00704CAC" w:rsidRPr="00672FF5">
        <w:t xml:space="preserve">% attended for 30 or more days.  </w:t>
      </w:r>
    </w:p>
    <w:p w:rsidR="00DD1522" w:rsidRPr="00672FF5" w:rsidRDefault="00DD1522" w:rsidP="00DD1522">
      <w:pPr>
        <w:pStyle w:val="ListParagraph"/>
        <w:ind w:left="360"/>
      </w:pPr>
    </w:p>
    <w:p w:rsidR="0044363C" w:rsidRPr="00672FF5" w:rsidRDefault="0044363C" w:rsidP="003E25B5">
      <w:pPr>
        <w:pStyle w:val="ListParagraph"/>
        <w:numPr>
          <w:ilvl w:val="0"/>
          <w:numId w:val="6"/>
        </w:numPr>
      </w:pPr>
      <w:r w:rsidRPr="00672FF5">
        <w:rPr>
          <w:b/>
        </w:rPr>
        <w:t>Provides activities for students across the school year.</w:t>
      </w:r>
      <w:r w:rsidRPr="00672FF5">
        <w:t xml:space="preserve">  The program provided </w:t>
      </w:r>
      <w:r w:rsidR="00E12DFF">
        <w:t xml:space="preserve">a 4-week program during the summer and </w:t>
      </w:r>
      <w:r w:rsidRPr="00672FF5">
        <w:t>3</w:t>
      </w:r>
      <w:r w:rsidR="00D36855" w:rsidRPr="00672FF5">
        <w:t>4</w:t>
      </w:r>
      <w:r w:rsidRPr="00672FF5">
        <w:t xml:space="preserve"> weeks of after-school activities</w:t>
      </w:r>
      <w:r w:rsidR="00E12DFF">
        <w:t xml:space="preserve"> during the school year</w:t>
      </w:r>
      <w:bookmarkStart w:id="0" w:name="_GoBack"/>
      <w:bookmarkEnd w:id="0"/>
      <w:r w:rsidRPr="00672FF5">
        <w:t xml:space="preserve"> for </w:t>
      </w:r>
      <w:r w:rsidR="00D36855" w:rsidRPr="00672FF5">
        <w:t xml:space="preserve">about </w:t>
      </w:r>
      <w:r w:rsidRPr="00672FF5">
        <w:t>2.25 hours a day, 4 days a week for students in 1</w:t>
      </w:r>
      <w:r w:rsidRPr="00672FF5">
        <w:rPr>
          <w:vertAlign w:val="superscript"/>
        </w:rPr>
        <w:t>st</w:t>
      </w:r>
      <w:r w:rsidRPr="00672FF5">
        <w:t xml:space="preserve"> – 5</w:t>
      </w:r>
      <w:r w:rsidRPr="00672FF5">
        <w:rPr>
          <w:vertAlign w:val="superscript"/>
        </w:rPr>
        <w:t>th</w:t>
      </w:r>
      <w:r w:rsidRPr="00672FF5">
        <w:t xml:space="preserve"> grades.</w:t>
      </w:r>
      <w:r w:rsidRPr="00672FF5">
        <w:br/>
      </w:r>
    </w:p>
    <w:p w:rsidR="000E7108" w:rsidRPr="00672FF5" w:rsidRDefault="000E7108" w:rsidP="003E25B5">
      <w:pPr>
        <w:pStyle w:val="ListParagraph"/>
        <w:numPr>
          <w:ilvl w:val="0"/>
          <w:numId w:val="6"/>
        </w:numPr>
      </w:pPr>
      <w:r w:rsidRPr="00672FF5">
        <w:rPr>
          <w:b/>
        </w:rPr>
        <w:t xml:space="preserve">Provides academic and enrichment activities to students.  </w:t>
      </w:r>
      <w:r w:rsidRPr="00672FF5">
        <w:t xml:space="preserve">The program supported students with </w:t>
      </w:r>
      <w:r w:rsidR="004F4DCC" w:rsidRPr="00672FF5">
        <w:t xml:space="preserve">a variety of activities including: </w:t>
      </w:r>
    </w:p>
    <w:p w:rsidR="00704CAC" w:rsidRPr="00672FF5" w:rsidRDefault="00704CAC" w:rsidP="00DD1522">
      <w:pPr>
        <w:pStyle w:val="ListParagraph"/>
        <w:numPr>
          <w:ilvl w:val="0"/>
          <w:numId w:val="14"/>
        </w:numPr>
        <w:ind w:left="810" w:hanging="450"/>
      </w:pPr>
      <w:r w:rsidRPr="00672FF5">
        <w:t>STEM and math games</w:t>
      </w:r>
      <w:r w:rsidR="00D36855" w:rsidRPr="00672FF5">
        <w:t xml:space="preserve"> - gaming</w:t>
      </w:r>
    </w:p>
    <w:p w:rsidR="0044363C" w:rsidRPr="00672FF5" w:rsidRDefault="0044363C" w:rsidP="00DD1522">
      <w:pPr>
        <w:pStyle w:val="ListParagraph"/>
        <w:numPr>
          <w:ilvl w:val="0"/>
          <w:numId w:val="14"/>
        </w:numPr>
        <w:ind w:left="810" w:hanging="450"/>
      </w:pPr>
      <w:r w:rsidRPr="00672FF5">
        <w:t>Science activities</w:t>
      </w:r>
      <w:r w:rsidR="00D36855" w:rsidRPr="00672FF5">
        <w:t xml:space="preserve"> – crazy concoctions, edible chemistry, it’s electric, computer club</w:t>
      </w:r>
    </w:p>
    <w:p w:rsidR="00704CAC" w:rsidRPr="00672FF5" w:rsidRDefault="00704CAC" w:rsidP="00DD1522">
      <w:pPr>
        <w:pStyle w:val="ListParagraph"/>
        <w:numPr>
          <w:ilvl w:val="0"/>
          <w:numId w:val="14"/>
        </w:numPr>
        <w:ind w:left="810" w:hanging="450"/>
      </w:pPr>
      <w:r w:rsidRPr="00672FF5">
        <w:t>Homework Help</w:t>
      </w:r>
    </w:p>
    <w:p w:rsidR="00704CAC" w:rsidRPr="00672FF5" w:rsidRDefault="00704CAC" w:rsidP="00DD1522">
      <w:pPr>
        <w:pStyle w:val="ListParagraph"/>
        <w:numPr>
          <w:ilvl w:val="0"/>
          <w:numId w:val="14"/>
        </w:numPr>
        <w:ind w:left="810" w:hanging="450"/>
      </w:pPr>
      <w:r w:rsidRPr="00672FF5">
        <w:t>Art</w:t>
      </w:r>
      <w:r w:rsidR="00D36855" w:rsidRPr="00672FF5">
        <w:t xml:space="preserve">s </w:t>
      </w:r>
      <w:r w:rsidRPr="00672FF5">
        <w:t xml:space="preserve">and </w:t>
      </w:r>
      <w:r w:rsidR="00D36855" w:rsidRPr="00672FF5">
        <w:t>Crafts – anime, drawing</w:t>
      </w:r>
    </w:p>
    <w:p w:rsidR="00704CAC" w:rsidRPr="00672FF5" w:rsidRDefault="00704CAC" w:rsidP="00D36855">
      <w:pPr>
        <w:pStyle w:val="ListParagraph"/>
        <w:numPr>
          <w:ilvl w:val="0"/>
          <w:numId w:val="14"/>
        </w:numPr>
        <w:ind w:left="810" w:hanging="450"/>
      </w:pPr>
      <w:r w:rsidRPr="00672FF5">
        <w:t>Physical activities</w:t>
      </w:r>
      <w:r w:rsidR="00D36855" w:rsidRPr="00672FF5">
        <w:t xml:space="preserve"> - gymnastics</w:t>
      </w:r>
    </w:p>
    <w:p w:rsidR="00704CAC" w:rsidRPr="00672FF5" w:rsidRDefault="00704CAC" w:rsidP="00DD1522">
      <w:pPr>
        <w:pStyle w:val="ListParagraph"/>
        <w:numPr>
          <w:ilvl w:val="0"/>
          <w:numId w:val="14"/>
        </w:numPr>
        <w:ind w:left="810" w:hanging="450"/>
      </w:pPr>
      <w:r w:rsidRPr="00672FF5">
        <w:t>Cooking</w:t>
      </w:r>
      <w:r w:rsidR="00D36855" w:rsidRPr="00672FF5">
        <w:t xml:space="preserve"> – healthy kids club</w:t>
      </w:r>
    </w:p>
    <w:p w:rsidR="00D36855" w:rsidRPr="00672FF5" w:rsidRDefault="00D36855" w:rsidP="00DD1522">
      <w:pPr>
        <w:pStyle w:val="ListParagraph"/>
        <w:numPr>
          <w:ilvl w:val="0"/>
          <w:numId w:val="14"/>
        </w:numPr>
        <w:ind w:left="810" w:hanging="450"/>
      </w:pPr>
      <w:r w:rsidRPr="00672FF5">
        <w:t>Field Trips – to local parks</w:t>
      </w:r>
    </w:p>
    <w:p w:rsidR="00DD1522" w:rsidRPr="00672FF5" w:rsidRDefault="00DD1522" w:rsidP="00DD1522">
      <w:pPr>
        <w:ind w:left="360"/>
      </w:pPr>
    </w:p>
    <w:p w:rsidR="00BF1AD7" w:rsidRPr="00672FF5" w:rsidRDefault="000E7108" w:rsidP="006B413F">
      <w:pPr>
        <w:pStyle w:val="NormalWeb"/>
        <w:numPr>
          <w:ilvl w:val="0"/>
          <w:numId w:val="9"/>
        </w:numPr>
        <w:spacing w:before="0" w:beforeAutospacing="0" w:after="0" w:afterAutospacing="0"/>
        <w:rPr>
          <w:rFonts w:ascii="Times New Roman" w:hAnsi="Times New Roman"/>
          <w:color w:val="auto"/>
          <w:sz w:val="24"/>
          <w:szCs w:val="24"/>
        </w:rPr>
      </w:pPr>
      <w:r w:rsidRPr="00672FF5">
        <w:rPr>
          <w:rFonts w:ascii="Times New Roman" w:hAnsi="Times New Roman"/>
          <w:b/>
          <w:color w:val="auto"/>
          <w:sz w:val="24"/>
          <w:szCs w:val="24"/>
        </w:rPr>
        <w:t>Supports families with information and events.</w:t>
      </w:r>
      <w:r w:rsidRPr="00672FF5">
        <w:rPr>
          <w:b/>
          <w:color w:val="auto"/>
          <w:sz w:val="24"/>
          <w:szCs w:val="24"/>
        </w:rPr>
        <w:t xml:space="preserve">  </w:t>
      </w:r>
      <w:r w:rsidRPr="00672FF5">
        <w:rPr>
          <w:rFonts w:ascii="Times New Roman" w:hAnsi="Times New Roman"/>
          <w:color w:val="auto"/>
          <w:sz w:val="24"/>
          <w:szCs w:val="24"/>
        </w:rPr>
        <w:t xml:space="preserve">Events for families included </w:t>
      </w:r>
      <w:r w:rsidR="00704CAC" w:rsidRPr="00672FF5">
        <w:rPr>
          <w:rFonts w:ascii="Times New Roman" w:hAnsi="Times New Roman"/>
          <w:color w:val="auto"/>
          <w:sz w:val="24"/>
          <w:szCs w:val="24"/>
        </w:rPr>
        <w:t>a</w:t>
      </w:r>
      <w:r w:rsidR="00754B0E" w:rsidRPr="00672FF5">
        <w:rPr>
          <w:rFonts w:ascii="Times New Roman" w:hAnsi="Times New Roman"/>
          <w:color w:val="auto"/>
          <w:sz w:val="24"/>
          <w:szCs w:val="24"/>
        </w:rPr>
        <w:t xml:space="preserve"> family dinner prepared by the students, open houses for parent to learn about program activities, and seasonal celebrations.</w:t>
      </w:r>
    </w:p>
    <w:p w:rsidR="00C23D3F" w:rsidRPr="00672FF5" w:rsidRDefault="0044363C" w:rsidP="00C23D3F">
      <w:pPr>
        <w:pStyle w:val="ListParagraph"/>
        <w:tabs>
          <w:tab w:val="left" w:pos="720"/>
        </w:tabs>
        <w:ind w:left="360"/>
      </w:pPr>
      <w:r w:rsidRPr="00672FF5">
        <w:br/>
      </w:r>
      <w:r w:rsidR="00754B0E" w:rsidRPr="00672FF5">
        <w:br/>
      </w:r>
      <w:r w:rsidR="00754B0E" w:rsidRPr="00672FF5">
        <w:br/>
      </w:r>
      <w:r w:rsidRPr="00672FF5">
        <w:br/>
      </w:r>
    </w:p>
    <w:p w:rsidR="00C23D3F" w:rsidRPr="00672FF5" w:rsidRDefault="004216D6" w:rsidP="00A35912">
      <w:pPr>
        <w:pStyle w:val="ListParagraph"/>
        <w:numPr>
          <w:ilvl w:val="0"/>
          <w:numId w:val="6"/>
        </w:numPr>
        <w:tabs>
          <w:tab w:val="left" w:pos="720"/>
        </w:tabs>
      </w:pPr>
      <w:r w:rsidRPr="00672FF5">
        <w:rPr>
          <w:b/>
          <w:bCs/>
        </w:rPr>
        <w:t xml:space="preserve">Involved a variety of community partners.  </w:t>
      </w:r>
      <w:r w:rsidRPr="00672FF5">
        <w:rPr>
          <w:rFonts w:eastAsiaTheme="minorHAnsi"/>
        </w:rPr>
        <w:t>The program utilized support and contributions f</w:t>
      </w:r>
      <w:r w:rsidR="00F73112" w:rsidRPr="00672FF5">
        <w:rPr>
          <w:rFonts w:eastAsiaTheme="minorHAnsi"/>
        </w:rPr>
        <w:t xml:space="preserve">rom several partners such </w:t>
      </w:r>
      <w:r w:rsidR="0044363C" w:rsidRPr="00672FF5">
        <w:rPr>
          <w:rFonts w:eastAsiaTheme="minorHAnsi"/>
        </w:rPr>
        <w:t xml:space="preserve">as </w:t>
      </w:r>
      <w:r w:rsidR="00754B0E" w:rsidRPr="00672FF5">
        <w:rPr>
          <w:rFonts w:eastAsiaTheme="minorHAnsi"/>
        </w:rPr>
        <w:t>Kent Parks and Recreation, Washington State Parks</w:t>
      </w:r>
      <w:r w:rsidR="001C50D1" w:rsidRPr="00672FF5">
        <w:rPr>
          <w:rFonts w:eastAsiaTheme="minorHAnsi"/>
        </w:rPr>
        <w:t xml:space="preserve">, </w:t>
      </w:r>
      <w:r w:rsidR="00754B0E" w:rsidRPr="00672FF5">
        <w:rPr>
          <w:rFonts w:eastAsiaTheme="minorHAnsi"/>
        </w:rPr>
        <w:t xml:space="preserve"> AmeriCorps, and the Goodwill iGrad Program.</w:t>
      </w:r>
    </w:p>
    <w:p w:rsidR="004216D6" w:rsidRPr="00672FF5" w:rsidRDefault="004216D6" w:rsidP="004216D6">
      <w:pPr>
        <w:pStyle w:val="ListParagraph"/>
        <w:tabs>
          <w:tab w:val="left" w:pos="720"/>
        </w:tabs>
        <w:ind w:left="360"/>
      </w:pPr>
    </w:p>
    <w:p w:rsidR="000128BF" w:rsidRPr="00672FF5" w:rsidRDefault="000128BF" w:rsidP="000128BF">
      <w:pPr>
        <w:pStyle w:val="ListParagraph"/>
        <w:numPr>
          <w:ilvl w:val="0"/>
          <w:numId w:val="6"/>
        </w:numPr>
      </w:pPr>
      <w:r w:rsidRPr="00672FF5">
        <w:rPr>
          <w:b/>
          <w:bCs/>
        </w:rPr>
        <w:t xml:space="preserve">Offers a high-quality environment in which youth build skills.  </w:t>
      </w:r>
      <w:r w:rsidRPr="00672FF5">
        <w:rPr>
          <w:bCs/>
        </w:rPr>
        <w:t>Results from the Youth Program Quality Assessment show</w:t>
      </w:r>
      <w:r w:rsidRPr="00672FF5">
        <w:rPr>
          <w:b/>
          <w:bCs/>
        </w:rPr>
        <w:t xml:space="preserve"> </w:t>
      </w:r>
      <w:r w:rsidRPr="00672FF5">
        <w:rPr>
          <w:bCs/>
        </w:rPr>
        <w:t>that the quality of activities, instruction, and engagement score as highly as other after-school programs in the State of Washington.</w:t>
      </w:r>
      <w:r w:rsidR="00754B0E" w:rsidRPr="00672FF5">
        <w:rPr>
          <w:bCs/>
        </w:rPr>
        <w:t xml:space="preserve">  Staff participated in a pilot program to increase the quality of activities in the area of social emotional learning</w:t>
      </w:r>
      <w:r w:rsidR="00E12DFF">
        <w:rPr>
          <w:bCs/>
        </w:rPr>
        <w:t>.</w:t>
      </w:r>
    </w:p>
    <w:p w:rsidR="00B637DF" w:rsidRPr="00672FF5" w:rsidRDefault="00B637DF" w:rsidP="00B637DF">
      <w:pPr>
        <w:ind w:left="360"/>
      </w:pPr>
    </w:p>
    <w:p w:rsidR="00BF1AD7" w:rsidRPr="00672FF5" w:rsidRDefault="00BF1AD7" w:rsidP="00BF1AD7">
      <w:pPr>
        <w:pStyle w:val="ListParagraph"/>
        <w:numPr>
          <w:ilvl w:val="0"/>
          <w:numId w:val="6"/>
        </w:numPr>
        <w:spacing w:after="120"/>
      </w:pPr>
      <w:r w:rsidRPr="00672FF5">
        <w:rPr>
          <w:b/>
        </w:rPr>
        <w:t xml:space="preserve">Improves student learning behaviors.  </w:t>
      </w:r>
      <w:r w:rsidRPr="00672FF5">
        <w:t>Teachers indicated at the end of the year that the</w:t>
      </w:r>
      <w:r w:rsidR="00704CAC" w:rsidRPr="00672FF5">
        <w:t>y felt the after-school program was beneficial for the students.</w:t>
      </w:r>
    </w:p>
    <w:tbl>
      <w:tblPr>
        <w:tblStyle w:val="TableGrid"/>
        <w:tblW w:w="4680" w:type="dxa"/>
        <w:tblInd w:w="19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240"/>
        <w:gridCol w:w="1440"/>
      </w:tblGrid>
      <w:tr w:rsidR="00672FF5" w:rsidRPr="00672FF5" w:rsidTr="00374530">
        <w:tc>
          <w:tcPr>
            <w:tcW w:w="3240" w:type="dxa"/>
            <w:tcBorders>
              <w:bottom w:val="single" w:sz="6" w:space="0" w:color="808080"/>
            </w:tcBorders>
            <w:shd w:val="clear" w:color="auto" w:fill="D9D9D9"/>
          </w:tcPr>
          <w:p w:rsidR="00BF1AD7" w:rsidRPr="00672FF5" w:rsidRDefault="00BF1AD7" w:rsidP="00374530">
            <w:pPr>
              <w:rPr>
                <w:b/>
                <w:bCs/>
                <w:sz w:val="22"/>
                <w:szCs w:val="22"/>
              </w:rPr>
            </w:pPr>
            <w:r w:rsidRPr="00672FF5">
              <w:rPr>
                <w:b/>
                <w:bCs/>
                <w:sz w:val="22"/>
                <w:szCs w:val="22"/>
              </w:rPr>
              <w:t>End of year Teacher Survey</w:t>
            </w:r>
          </w:p>
          <w:p w:rsidR="00BF1AD7" w:rsidRPr="00672FF5" w:rsidRDefault="00BF1AD7" w:rsidP="00374530">
            <w:pPr>
              <w:rPr>
                <w:bCs/>
                <w:i/>
                <w:sz w:val="22"/>
                <w:szCs w:val="22"/>
              </w:rPr>
            </w:pPr>
            <w:r w:rsidRPr="00672FF5">
              <w:rPr>
                <w:bCs/>
                <w:i/>
                <w:sz w:val="22"/>
                <w:szCs w:val="22"/>
              </w:rPr>
              <w:t>How have your students changed in terms of:</w:t>
            </w:r>
          </w:p>
        </w:tc>
        <w:tc>
          <w:tcPr>
            <w:tcW w:w="1440" w:type="dxa"/>
            <w:tcBorders>
              <w:bottom w:val="single" w:sz="6" w:space="0" w:color="808080"/>
            </w:tcBorders>
            <w:shd w:val="clear" w:color="auto" w:fill="D9D9D9"/>
          </w:tcPr>
          <w:p w:rsidR="00BF1AD7" w:rsidRPr="00672FF5" w:rsidRDefault="00BF1AD7" w:rsidP="00374530">
            <w:pPr>
              <w:jc w:val="center"/>
              <w:rPr>
                <w:sz w:val="22"/>
                <w:szCs w:val="22"/>
              </w:rPr>
            </w:pPr>
            <w:r w:rsidRPr="00672FF5">
              <w:rPr>
                <w:sz w:val="22"/>
                <w:szCs w:val="22"/>
              </w:rPr>
              <w:t>Percent of students who improved</w:t>
            </w:r>
          </w:p>
        </w:tc>
      </w:tr>
      <w:tr w:rsidR="00672FF5" w:rsidRPr="00672FF5" w:rsidTr="00374530">
        <w:tc>
          <w:tcPr>
            <w:tcW w:w="3240" w:type="dxa"/>
            <w:tcBorders>
              <w:top w:val="single" w:sz="6" w:space="0" w:color="808080"/>
              <w:left w:val="single" w:sz="6" w:space="0" w:color="808080"/>
              <w:bottom w:val="single" w:sz="6" w:space="0" w:color="808080"/>
            </w:tcBorders>
            <w:vAlign w:val="center"/>
          </w:tcPr>
          <w:p w:rsidR="00E76E1C" w:rsidRPr="00672FF5" w:rsidRDefault="00E76E1C" w:rsidP="00704CAC">
            <w:pPr>
              <w:rPr>
                <w:sz w:val="22"/>
                <w:szCs w:val="22"/>
              </w:rPr>
            </w:pPr>
            <w:r w:rsidRPr="00672FF5">
              <w:rPr>
                <w:sz w:val="22"/>
                <w:szCs w:val="22"/>
              </w:rPr>
              <w:t>Turning in homework on time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54B0E" w:rsidP="00E76E1C">
            <w:pPr>
              <w:jc w:val="center"/>
              <w:rPr>
                <w:sz w:val="22"/>
                <w:szCs w:val="22"/>
              </w:rPr>
            </w:pPr>
            <w:r w:rsidRPr="00672FF5">
              <w:rPr>
                <w:sz w:val="22"/>
                <w:szCs w:val="22"/>
              </w:rPr>
              <w:t>20</w:t>
            </w:r>
            <w:r w:rsidR="00E76E1C" w:rsidRPr="00672FF5">
              <w:rPr>
                <w:sz w:val="22"/>
                <w:szCs w:val="22"/>
              </w:rPr>
              <w:t>%</w:t>
            </w:r>
          </w:p>
        </w:tc>
      </w:tr>
      <w:tr w:rsidR="00672FF5" w:rsidRPr="00672FF5" w:rsidTr="00374530">
        <w:tc>
          <w:tcPr>
            <w:tcW w:w="3240" w:type="dxa"/>
            <w:tcBorders>
              <w:top w:val="single" w:sz="6" w:space="0" w:color="808080"/>
              <w:left w:val="single" w:sz="6" w:space="0" w:color="808080"/>
              <w:bottom w:val="single" w:sz="6" w:space="0" w:color="808080"/>
            </w:tcBorders>
            <w:vAlign w:val="center"/>
          </w:tcPr>
          <w:p w:rsidR="00E76E1C" w:rsidRPr="00672FF5" w:rsidRDefault="00E76E1C" w:rsidP="00E76E1C">
            <w:pPr>
              <w:pStyle w:val="Footer"/>
              <w:tabs>
                <w:tab w:val="clear" w:pos="4320"/>
                <w:tab w:val="clear" w:pos="8640"/>
              </w:tabs>
              <w:rPr>
                <w:sz w:val="22"/>
                <w:szCs w:val="22"/>
              </w:rPr>
            </w:pPr>
            <w:r w:rsidRPr="00672FF5">
              <w:rPr>
                <w:sz w:val="22"/>
                <w:szCs w:val="22"/>
              </w:rPr>
              <w:t>Completing homework to your satisfaction</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54B0E" w:rsidP="00E76E1C">
            <w:pPr>
              <w:jc w:val="center"/>
              <w:rPr>
                <w:sz w:val="22"/>
                <w:szCs w:val="22"/>
              </w:rPr>
            </w:pPr>
            <w:r w:rsidRPr="00672FF5">
              <w:rPr>
                <w:sz w:val="22"/>
                <w:szCs w:val="22"/>
              </w:rPr>
              <w:t>33</w:t>
            </w:r>
            <w:r w:rsidR="00E76E1C" w:rsidRPr="00672FF5">
              <w:rPr>
                <w:sz w:val="22"/>
                <w:szCs w:val="22"/>
              </w:rPr>
              <w:t>%</w:t>
            </w:r>
          </w:p>
        </w:tc>
      </w:tr>
      <w:tr w:rsidR="00672FF5" w:rsidRPr="00672FF5" w:rsidTr="00374530">
        <w:tc>
          <w:tcPr>
            <w:tcW w:w="3240" w:type="dxa"/>
            <w:tcBorders>
              <w:top w:val="single" w:sz="6" w:space="0" w:color="808080"/>
              <w:left w:val="single" w:sz="6" w:space="0" w:color="808080"/>
              <w:bottom w:val="single" w:sz="6" w:space="0" w:color="808080"/>
            </w:tcBorders>
            <w:vAlign w:val="center"/>
          </w:tcPr>
          <w:p w:rsidR="00E76E1C" w:rsidRPr="00672FF5" w:rsidRDefault="00E76E1C" w:rsidP="00E76E1C">
            <w:pPr>
              <w:rPr>
                <w:sz w:val="22"/>
                <w:szCs w:val="22"/>
              </w:rPr>
            </w:pPr>
            <w:r w:rsidRPr="00672FF5">
              <w:rPr>
                <w:sz w:val="22"/>
                <w:szCs w:val="22"/>
              </w:rPr>
              <w:t>Participating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54B0E" w:rsidP="00E76E1C">
            <w:pPr>
              <w:jc w:val="center"/>
              <w:rPr>
                <w:sz w:val="22"/>
                <w:szCs w:val="22"/>
              </w:rPr>
            </w:pPr>
            <w:r w:rsidRPr="00672FF5">
              <w:rPr>
                <w:sz w:val="22"/>
                <w:szCs w:val="22"/>
              </w:rPr>
              <w:t>48</w:t>
            </w:r>
            <w:r w:rsidR="00E76E1C" w:rsidRPr="00672FF5">
              <w:rPr>
                <w:sz w:val="22"/>
                <w:szCs w:val="22"/>
              </w:rPr>
              <w:t>%</w:t>
            </w:r>
          </w:p>
        </w:tc>
      </w:tr>
      <w:tr w:rsidR="00672FF5" w:rsidRPr="00672FF5" w:rsidTr="00374530">
        <w:tc>
          <w:tcPr>
            <w:tcW w:w="3240" w:type="dxa"/>
            <w:tcBorders>
              <w:top w:val="single" w:sz="6" w:space="0" w:color="808080"/>
              <w:left w:val="single" w:sz="6" w:space="0" w:color="808080"/>
              <w:bottom w:val="single" w:sz="6" w:space="0" w:color="808080"/>
            </w:tcBorders>
            <w:vAlign w:val="center"/>
          </w:tcPr>
          <w:p w:rsidR="00E76E1C" w:rsidRPr="00672FF5" w:rsidRDefault="00E76E1C" w:rsidP="00E76E1C">
            <w:pPr>
              <w:rPr>
                <w:sz w:val="22"/>
                <w:szCs w:val="22"/>
              </w:rPr>
            </w:pPr>
            <w:r w:rsidRPr="00672FF5">
              <w:rPr>
                <w:sz w:val="22"/>
                <w:szCs w:val="22"/>
              </w:rPr>
              <w:t>Behaving well in class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54B0E" w:rsidP="00E76E1C">
            <w:pPr>
              <w:jc w:val="center"/>
              <w:rPr>
                <w:sz w:val="22"/>
                <w:szCs w:val="22"/>
              </w:rPr>
            </w:pPr>
            <w:r w:rsidRPr="00672FF5">
              <w:rPr>
                <w:sz w:val="22"/>
                <w:szCs w:val="22"/>
              </w:rPr>
              <w:t>45</w:t>
            </w:r>
            <w:r w:rsidR="00E76E1C" w:rsidRPr="00672FF5">
              <w:rPr>
                <w:sz w:val="22"/>
                <w:szCs w:val="22"/>
              </w:rPr>
              <w:t>%</w:t>
            </w:r>
          </w:p>
        </w:tc>
      </w:tr>
      <w:tr w:rsidR="00672FF5" w:rsidRPr="00672FF5" w:rsidTr="00374530">
        <w:tc>
          <w:tcPr>
            <w:tcW w:w="3240" w:type="dxa"/>
            <w:tcBorders>
              <w:top w:val="single" w:sz="6" w:space="0" w:color="808080"/>
              <w:left w:val="single" w:sz="6" w:space="0" w:color="808080"/>
              <w:bottom w:val="single" w:sz="6" w:space="0" w:color="808080"/>
            </w:tcBorders>
            <w:vAlign w:val="center"/>
          </w:tcPr>
          <w:p w:rsidR="00E76E1C" w:rsidRPr="00672FF5" w:rsidRDefault="00E76E1C" w:rsidP="00E76E1C">
            <w:pPr>
              <w:rPr>
                <w:sz w:val="22"/>
                <w:szCs w:val="22"/>
              </w:rPr>
            </w:pPr>
            <w:r w:rsidRPr="00672FF5">
              <w:rPr>
                <w:sz w:val="22"/>
                <w:szCs w:val="22"/>
              </w:rPr>
              <w:t>Getting along well with other students</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54B0E" w:rsidP="00E76E1C">
            <w:pPr>
              <w:jc w:val="center"/>
              <w:rPr>
                <w:sz w:val="22"/>
                <w:szCs w:val="22"/>
              </w:rPr>
            </w:pPr>
            <w:r w:rsidRPr="00672FF5">
              <w:rPr>
                <w:sz w:val="22"/>
                <w:szCs w:val="22"/>
              </w:rPr>
              <w:t>48</w:t>
            </w:r>
            <w:r w:rsidR="00E76E1C" w:rsidRPr="00672FF5">
              <w:rPr>
                <w:sz w:val="22"/>
                <w:szCs w:val="22"/>
              </w:rPr>
              <w:t>%</w:t>
            </w:r>
          </w:p>
        </w:tc>
      </w:tr>
      <w:tr w:rsidR="00672FF5" w:rsidRPr="00672FF5" w:rsidTr="00374530">
        <w:tc>
          <w:tcPr>
            <w:tcW w:w="3240" w:type="dxa"/>
            <w:tcBorders>
              <w:top w:val="single" w:sz="6" w:space="0" w:color="808080"/>
              <w:left w:val="single" w:sz="6" w:space="0" w:color="808080"/>
              <w:bottom w:val="single" w:sz="6" w:space="0" w:color="808080"/>
              <w:right w:val="single" w:sz="6" w:space="0" w:color="808080"/>
            </w:tcBorders>
            <w:vAlign w:val="center"/>
          </w:tcPr>
          <w:p w:rsidR="00E76E1C" w:rsidRPr="00672FF5" w:rsidRDefault="00E76E1C" w:rsidP="00E76E1C">
            <w:pPr>
              <w:rPr>
                <w:sz w:val="22"/>
                <w:szCs w:val="22"/>
              </w:rPr>
            </w:pPr>
            <w:r w:rsidRPr="00672FF5">
              <w:rPr>
                <w:sz w:val="22"/>
                <w:szCs w:val="22"/>
              </w:rPr>
              <w:t>Overall Academic performance</w:t>
            </w:r>
          </w:p>
        </w:tc>
        <w:tc>
          <w:tcPr>
            <w:tcW w:w="1440" w:type="dxa"/>
            <w:tcBorders>
              <w:top w:val="single" w:sz="6" w:space="0" w:color="808080"/>
              <w:left w:val="single" w:sz="4" w:space="0" w:color="auto"/>
              <w:bottom w:val="single" w:sz="6" w:space="0" w:color="808080"/>
              <w:right w:val="single" w:sz="6" w:space="0" w:color="808080"/>
            </w:tcBorders>
            <w:shd w:val="clear" w:color="auto" w:fill="auto"/>
          </w:tcPr>
          <w:p w:rsidR="00E76E1C" w:rsidRPr="00672FF5" w:rsidRDefault="00704CAC" w:rsidP="00E76E1C">
            <w:pPr>
              <w:jc w:val="center"/>
              <w:rPr>
                <w:sz w:val="22"/>
                <w:szCs w:val="22"/>
              </w:rPr>
            </w:pPr>
            <w:r w:rsidRPr="00672FF5">
              <w:rPr>
                <w:sz w:val="22"/>
                <w:szCs w:val="22"/>
              </w:rPr>
              <w:t>5</w:t>
            </w:r>
            <w:r w:rsidR="00754B0E" w:rsidRPr="00672FF5">
              <w:rPr>
                <w:sz w:val="22"/>
                <w:szCs w:val="22"/>
              </w:rPr>
              <w:t>2</w:t>
            </w:r>
            <w:r w:rsidR="00E76E1C" w:rsidRPr="00672FF5">
              <w:rPr>
                <w:sz w:val="22"/>
                <w:szCs w:val="22"/>
              </w:rPr>
              <w:t>%</w:t>
            </w:r>
          </w:p>
        </w:tc>
      </w:tr>
      <w:tr w:rsidR="00672FF5" w:rsidRPr="00672FF5" w:rsidTr="00374530">
        <w:tc>
          <w:tcPr>
            <w:tcW w:w="3240" w:type="dxa"/>
            <w:tcBorders>
              <w:top w:val="single" w:sz="6" w:space="0" w:color="808080"/>
              <w:left w:val="nil"/>
              <w:bottom w:val="single" w:sz="4" w:space="0" w:color="808080" w:themeColor="background1" w:themeShade="80"/>
              <w:right w:val="nil"/>
            </w:tcBorders>
            <w:shd w:val="clear" w:color="auto" w:fill="auto"/>
            <w:vAlign w:val="center"/>
          </w:tcPr>
          <w:p w:rsidR="00BF1AD7" w:rsidRPr="00672FF5" w:rsidRDefault="00BF1AD7" w:rsidP="00374530">
            <w:pPr>
              <w:rPr>
                <w:sz w:val="22"/>
                <w:szCs w:val="22"/>
              </w:rPr>
            </w:pPr>
          </w:p>
        </w:tc>
        <w:tc>
          <w:tcPr>
            <w:tcW w:w="1440" w:type="dxa"/>
            <w:tcBorders>
              <w:top w:val="single" w:sz="6" w:space="0" w:color="808080"/>
              <w:left w:val="nil"/>
              <w:bottom w:val="single" w:sz="4" w:space="0" w:color="808080" w:themeColor="background1" w:themeShade="80"/>
              <w:right w:val="nil"/>
            </w:tcBorders>
            <w:shd w:val="clear" w:color="auto" w:fill="auto"/>
            <w:vAlign w:val="bottom"/>
          </w:tcPr>
          <w:p w:rsidR="00BF1AD7" w:rsidRPr="00672FF5" w:rsidRDefault="00BF1AD7" w:rsidP="00E76E1C">
            <w:pPr>
              <w:jc w:val="center"/>
              <w:rPr>
                <w:sz w:val="22"/>
                <w:szCs w:val="22"/>
              </w:rPr>
            </w:pPr>
          </w:p>
        </w:tc>
      </w:tr>
      <w:tr w:rsidR="00672FF5" w:rsidRPr="00672FF5" w:rsidTr="00374530">
        <w:trPr>
          <w:trHeight w:val="294"/>
        </w:trPr>
        <w:tc>
          <w:tcPr>
            <w:tcW w:w="32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1AD7" w:rsidRPr="00672FF5" w:rsidRDefault="00BF1AD7" w:rsidP="00374530">
            <w:pPr>
              <w:rPr>
                <w:sz w:val="22"/>
                <w:szCs w:val="22"/>
              </w:rPr>
            </w:pPr>
            <w:r w:rsidRPr="00672FF5">
              <w:rPr>
                <w:sz w:val="22"/>
                <w:szCs w:val="22"/>
              </w:rPr>
              <w:t>Overall, do you feel our after-school program was beneficial for this student?</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rsidR="00BF1AD7" w:rsidRPr="00672FF5" w:rsidRDefault="00BF1AD7" w:rsidP="00374530">
            <w:pPr>
              <w:jc w:val="center"/>
              <w:rPr>
                <w:sz w:val="22"/>
                <w:szCs w:val="22"/>
              </w:rPr>
            </w:pPr>
            <w:r w:rsidRPr="00672FF5">
              <w:rPr>
                <w:sz w:val="22"/>
                <w:szCs w:val="22"/>
              </w:rPr>
              <w:t>Yes</w:t>
            </w:r>
          </w:p>
        </w:tc>
      </w:tr>
      <w:tr w:rsidR="00754B0E" w:rsidRPr="00672FF5" w:rsidTr="00374530">
        <w:trPr>
          <w:trHeight w:val="294"/>
        </w:trPr>
        <w:tc>
          <w:tcPr>
            <w:tcW w:w="32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F1AD7" w:rsidRPr="00672FF5" w:rsidRDefault="00BF1AD7" w:rsidP="00374530">
            <w:pPr>
              <w:rPr>
                <w:sz w:val="22"/>
                <w:szCs w:val="22"/>
              </w:rPr>
            </w:pP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F1AD7" w:rsidRPr="00672FF5" w:rsidRDefault="00704CAC" w:rsidP="00374530">
            <w:pPr>
              <w:jc w:val="center"/>
              <w:rPr>
                <w:sz w:val="22"/>
                <w:szCs w:val="22"/>
              </w:rPr>
            </w:pPr>
            <w:r w:rsidRPr="00672FF5">
              <w:rPr>
                <w:sz w:val="22"/>
                <w:szCs w:val="22"/>
              </w:rPr>
              <w:t>8</w:t>
            </w:r>
            <w:r w:rsidR="00754B0E" w:rsidRPr="00672FF5">
              <w:rPr>
                <w:sz w:val="22"/>
                <w:szCs w:val="22"/>
              </w:rPr>
              <w:t>1</w:t>
            </w:r>
            <w:r w:rsidR="002F3120" w:rsidRPr="00672FF5">
              <w:rPr>
                <w:sz w:val="22"/>
                <w:szCs w:val="22"/>
              </w:rPr>
              <w:t>%</w:t>
            </w:r>
          </w:p>
        </w:tc>
      </w:tr>
    </w:tbl>
    <w:p w:rsidR="00CC1025" w:rsidRPr="00672FF5" w:rsidRDefault="00CC1025" w:rsidP="00BF1AD7">
      <w:pPr>
        <w:pStyle w:val="NormalWeb"/>
        <w:spacing w:before="0" w:beforeAutospacing="0" w:after="0" w:afterAutospacing="0"/>
        <w:rPr>
          <w:rFonts w:ascii="Times New Roman" w:hAnsi="Times New Roman"/>
          <w:color w:val="auto"/>
          <w:sz w:val="24"/>
          <w:szCs w:val="24"/>
        </w:rPr>
      </w:pPr>
    </w:p>
    <w:sectPr w:rsidR="00CC1025" w:rsidRPr="00672FF5" w:rsidSect="00B8692A">
      <w:type w:val="continuous"/>
      <w:pgSz w:w="12240" w:h="15840"/>
      <w:pgMar w:top="1440" w:right="81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A30" w:rsidRDefault="00196A30" w:rsidP="00CC1025">
      <w:r>
        <w:separator/>
      </w:r>
    </w:p>
  </w:endnote>
  <w:endnote w:type="continuationSeparator" w:id="0">
    <w:p w:rsidR="00196A30" w:rsidRDefault="00196A30" w:rsidP="00CC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ESRI NIMA VMAP1&amp;2 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C8" w:rsidRPr="00965E3A" w:rsidRDefault="00260BDC">
    <w:pPr>
      <w:pStyle w:val="Footer"/>
      <w:rPr>
        <w:sz w:val="20"/>
        <w:szCs w:val="20"/>
      </w:rPr>
    </w:pPr>
    <w:r w:rsidRPr="00965E3A">
      <w:rPr>
        <w:sz w:val="20"/>
        <w:szCs w:val="20"/>
      </w:rPr>
      <w:t>Puget Sound ESD</w:t>
    </w:r>
    <w:r w:rsidR="00367AC8" w:rsidRPr="00965E3A">
      <w:rPr>
        <w:sz w:val="20"/>
        <w:szCs w:val="20"/>
      </w:rPr>
      <w:t xml:space="preserve"> - 21</w:t>
    </w:r>
    <w:r w:rsidR="00367AC8" w:rsidRPr="00965E3A">
      <w:rPr>
        <w:sz w:val="20"/>
        <w:szCs w:val="20"/>
        <w:vertAlign w:val="superscript"/>
      </w:rPr>
      <w:t>st</w:t>
    </w:r>
    <w:r w:rsidR="00367AC8" w:rsidRPr="00965E3A">
      <w:rPr>
        <w:sz w:val="20"/>
        <w:szCs w:val="20"/>
      </w:rPr>
      <w:t xml:space="preserve"> Century Community Learning Centers </w:t>
    </w:r>
    <w:r w:rsidR="00AB553C">
      <w:rPr>
        <w:sz w:val="20"/>
        <w:szCs w:val="20"/>
      </w:rPr>
      <w:t>Cohort 14</w:t>
    </w:r>
    <w:r w:rsidR="00781B6E">
      <w:rPr>
        <w:sz w:val="20"/>
        <w:szCs w:val="20"/>
      </w:rPr>
      <w:t xml:space="preserve"> </w:t>
    </w:r>
    <w:r w:rsidR="00367AC8" w:rsidRPr="00965E3A">
      <w:rPr>
        <w:sz w:val="20"/>
        <w:szCs w:val="20"/>
      </w:rPr>
      <w:t>20</w:t>
    </w:r>
    <w:r w:rsidR="005E70DE" w:rsidRPr="00965E3A">
      <w:rPr>
        <w:sz w:val="20"/>
        <w:szCs w:val="20"/>
      </w:rPr>
      <w:t>1</w:t>
    </w:r>
    <w:r w:rsidR="00A21459">
      <w:rPr>
        <w:sz w:val="20"/>
        <w:szCs w:val="20"/>
      </w:rPr>
      <w:t>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A30" w:rsidRDefault="00196A30" w:rsidP="00CC1025">
      <w:r>
        <w:separator/>
      </w:r>
    </w:p>
  </w:footnote>
  <w:footnote w:type="continuationSeparator" w:id="0">
    <w:p w:rsidR="00196A30" w:rsidRDefault="00196A30" w:rsidP="00CC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C5"/>
    <w:multiLevelType w:val="hybridMultilevel"/>
    <w:tmpl w:val="F20C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649D3"/>
    <w:multiLevelType w:val="hybridMultilevel"/>
    <w:tmpl w:val="C466F122"/>
    <w:lvl w:ilvl="0" w:tplc="E818A360">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4362D"/>
    <w:multiLevelType w:val="hybridMultilevel"/>
    <w:tmpl w:val="114A9660"/>
    <w:lvl w:ilvl="0" w:tplc="04090001">
      <w:start w:val="1"/>
      <w:numFmt w:val="bullet"/>
      <w:lvlText w:val=""/>
      <w:lvlJc w:val="left"/>
      <w:pPr>
        <w:ind w:left="360" w:hanging="360"/>
      </w:pPr>
      <w:rPr>
        <w:rFonts w:ascii="Symbol" w:hAnsi="Symbol"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26D86"/>
    <w:multiLevelType w:val="hybridMultilevel"/>
    <w:tmpl w:val="25D83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29439E2"/>
    <w:multiLevelType w:val="hybridMultilevel"/>
    <w:tmpl w:val="5B6A8892"/>
    <w:lvl w:ilvl="0" w:tplc="9DCAF624">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E4B60"/>
    <w:multiLevelType w:val="hybridMultilevel"/>
    <w:tmpl w:val="B03A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921173"/>
    <w:multiLevelType w:val="hybridMultilevel"/>
    <w:tmpl w:val="3D9C1E20"/>
    <w:lvl w:ilvl="0" w:tplc="FE14ED3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24D721E"/>
    <w:multiLevelType w:val="hybridMultilevel"/>
    <w:tmpl w:val="5B0EB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2732C2E"/>
    <w:multiLevelType w:val="hybridMultilevel"/>
    <w:tmpl w:val="45D4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82D76"/>
    <w:multiLevelType w:val="multilevel"/>
    <w:tmpl w:val="41DE6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2A74A84"/>
    <w:multiLevelType w:val="hybridMultilevel"/>
    <w:tmpl w:val="D8409F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6980A8F"/>
    <w:multiLevelType w:val="hybridMultilevel"/>
    <w:tmpl w:val="718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91038"/>
    <w:multiLevelType w:val="hybridMultilevel"/>
    <w:tmpl w:val="F2D6C5B2"/>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B4DD8"/>
    <w:multiLevelType w:val="hybridMultilevel"/>
    <w:tmpl w:val="3066477E"/>
    <w:lvl w:ilvl="0" w:tplc="0409000D">
      <w:start w:val="1"/>
      <w:numFmt w:val="bullet"/>
      <w:lvlText w:val=""/>
      <w:lvlJc w:val="left"/>
      <w:pPr>
        <w:ind w:left="0" w:hanging="360"/>
      </w:pPr>
      <w:rPr>
        <w:rFonts w:ascii="Wingdings" w:hAnsi="Wingdings" w:hint="default"/>
        <w:b/>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6BD7808"/>
    <w:multiLevelType w:val="multilevel"/>
    <w:tmpl w:val="C466F122"/>
    <w:lvl w:ilvl="0">
      <w:start w:val="1"/>
      <w:numFmt w:val="bullet"/>
      <w:lvlText w:val="⁭"/>
      <w:lvlJc w:val="left"/>
      <w:pPr>
        <w:tabs>
          <w:tab w:val="num" w:pos="1440"/>
        </w:tabs>
        <w:ind w:left="144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D7791F"/>
    <w:multiLevelType w:val="hybridMultilevel"/>
    <w:tmpl w:val="96327E5C"/>
    <w:lvl w:ilvl="0" w:tplc="9DCAF624">
      <w:start w:val="1"/>
      <w:numFmt w:val="bullet"/>
      <w:lvlText w:val=""/>
      <w:lvlJc w:val="left"/>
      <w:pPr>
        <w:ind w:left="1080" w:hanging="360"/>
      </w:pPr>
      <w:rPr>
        <w:rFonts w:ascii="Wingdings" w:hAnsi="Wingdings"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0E6858"/>
    <w:multiLevelType w:val="hybridMultilevel"/>
    <w:tmpl w:val="A0D6C254"/>
    <w:lvl w:ilvl="0" w:tplc="0409000D">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6"/>
  </w:num>
  <w:num w:numId="6">
    <w:abstractNumId w:val="4"/>
  </w:num>
  <w:num w:numId="7">
    <w:abstractNumId w:val="8"/>
  </w:num>
  <w:num w:numId="8">
    <w:abstractNumId w:val="11"/>
  </w:num>
  <w:num w:numId="9">
    <w:abstractNumId w:val="16"/>
  </w:num>
  <w:num w:numId="10">
    <w:abstractNumId w:val="15"/>
  </w:num>
  <w:num w:numId="11">
    <w:abstractNumId w:val="2"/>
  </w:num>
  <w:num w:numId="12">
    <w:abstractNumId w:val="12"/>
  </w:num>
  <w:num w:numId="13">
    <w:abstractNumId w:val="13"/>
  </w:num>
  <w:num w:numId="14">
    <w:abstractNumId w:val="7"/>
  </w:num>
  <w:num w:numId="15">
    <w:abstractNumId w:val="0"/>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085"/>
    <w:rsid w:val="000128BF"/>
    <w:rsid w:val="0002205F"/>
    <w:rsid w:val="00082FA6"/>
    <w:rsid w:val="000862EC"/>
    <w:rsid w:val="000B1BE5"/>
    <w:rsid w:val="000E7108"/>
    <w:rsid w:val="00107D99"/>
    <w:rsid w:val="00111147"/>
    <w:rsid w:val="001112D1"/>
    <w:rsid w:val="00160858"/>
    <w:rsid w:val="00166C0E"/>
    <w:rsid w:val="001723DF"/>
    <w:rsid w:val="001753CA"/>
    <w:rsid w:val="00181CF8"/>
    <w:rsid w:val="00196A30"/>
    <w:rsid w:val="001A3B37"/>
    <w:rsid w:val="001B3A10"/>
    <w:rsid w:val="001C50D1"/>
    <w:rsid w:val="001C5524"/>
    <w:rsid w:val="001F45AE"/>
    <w:rsid w:val="00206D30"/>
    <w:rsid w:val="00231FFC"/>
    <w:rsid w:val="00260BDC"/>
    <w:rsid w:val="0028143B"/>
    <w:rsid w:val="002A466A"/>
    <w:rsid w:val="002B1BB8"/>
    <w:rsid w:val="002F3120"/>
    <w:rsid w:val="00322085"/>
    <w:rsid w:val="003512C1"/>
    <w:rsid w:val="00367AC8"/>
    <w:rsid w:val="00383133"/>
    <w:rsid w:val="00396683"/>
    <w:rsid w:val="003B5362"/>
    <w:rsid w:val="003D5C4A"/>
    <w:rsid w:val="003E25B5"/>
    <w:rsid w:val="003E3490"/>
    <w:rsid w:val="004216D6"/>
    <w:rsid w:val="00424B39"/>
    <w:rsid w:val="0044363C"/>
    <w:rsid w:val="004558C8"/>
    <w:rsid w:val="00460E16"/>
    <w:rsid w:val="00481154"/>
    <w:rsid w:val="0049471A"/>
    <w:rsid w:val="004A24F0"/>
    <w:rsid w:val="004C558F"/>
    <w:rsid w:val="004C6BCF"/>
    <w:rsid w:val="004D6357"/>
    <w:rsid w:val="004F4DCC"/>
    <w:rsid w:val="004F71C2"/>
    <w:rsid w:val="005131DF"/>
    <w:rsid w:val="0053439D"/>
    <w:rsid w:val="005E70DE"/>
    <w:rsid w:val="006063B6"/>
    <w:rsid w:val="006133B2"/>
    <w:rsid w:val="00624F88"/>
    <w:rsid w:val="006347F0"/>
    <w:rsid w:val="00650480"/>
    <w:rsid w:val="00672FF5"/>
    <w:rsid w:val="006773CB"/>
    <w:rsid w:val="00690732"/>
    <w:rsid w:val="006B413F"/>
    <w:rsid w:val="00703A1E"/>
    <w:rsid w:val="00703FC1"/>
    <w:rsid w:val="00704CAC"/>
    <w:rsid w:val="00713E63"/>
    <w:rsid w:val="007464EC"/>
    <w:rsid w:val="00754B0E"/>
    <w:rsid w:val="007613FE"/>
    <w:rsid w:val="00764EDA"/>
    <w:rsid w:val="00773960"/>
    <w:rsid w:val="00781B6E"/>
    <w:rsid w:val="007907EE"/>
    <w:rsid w:val="007A4A85"/>
    <w:rsid w:val="00821F16"/>
    <w:rsid w:val="008306E2"/>
    <w:rsid w:val="008724BD"/>
    <w:rsid w:val="00880D2E"/>
    <w:rsid w:val="00887965"/>
    <w:rsid w:val="00895ECE"/>
    <w:rsid w:val="00907D22"/>
    <w:rsid w:val="00925117"/>
    <w:rsid w:val="00941C96"/>
    <w:rsid w:val="00944170"/>
    <w:rsid w:val="00965E3A"/>
    <w:rsid w:val="0097468D"/>
    <w:rsid w:val="009B7790"/>
    <w:rsid w:val="009D0D1A"/>
    <w:rsid w:val="00A21459"/>
    <w:rsid w:val="00A35912"/>
    <w:rsid w:val="00A35BC8"/>
    <w:rsid w:val="00A3724E"/>
    <w:rsid w:val="00A4717A"/>
    <w:rsid w:val="00A51B78"/>
    <w:rsid w:val="00AA5FBF"/>
    <w:rsid w:val="00AB553C"/>
    <w:rsid w:val="00AB5F0C"/>
    <w:rsid w:val="00AD5FEA"/>
    <w:rsid w:val="00B00A3B"/>
    <w:rsid w:val="00B41A54"/>
    <w:rsid w:val="00B637DF"/>
    <w:rsid w:val="00B81287"/>
    <w:rsid w:val="00B84A18"/>
    <w:rsid w:val="00B8692A"/>
    <w:rsid w:val="00B91282"/>
    <w:rsid w:val="00BA629B"/>
    <w:rsid w:val="00BF1AD7"/>
    <w:rsid w:val="00BF4091"/>
    <w:rsid w:val="00C16E46"/>
    <w:rsid w:val="00C23D3F"/>
    <w:rsid w:val="00C24E4E"/>
    <w:rsid w:val="00C36669"/>
    <w:rsid w:val="00C8262A"/>
    <w:rsid w:val="00C85B2F"/>
    <w:rsid w:val="00C948FA"/>
    <w:rsid w:val="00CC1025"/>
    <w:rsid w:val="00D36855"/>
    <w:rsid w:val="00D66C1A"/>
    <w:rsid w:val="00DB2AAF"/>
    <w:rsid w:val="00DD1522"/>
    <w:rsid w:val="00DD2960"/>
    <w:rsid w:val="00DE3BEC"/>
    <w:rsid w:val="00E1265E"/>
    <w:rsid w:val="00E12DFF"/>
    <w:rsid w:val="00E279A0"/>
    <w:rsid w:val="00E3389B"/>
    <w:rsid w:val="00E46B02"/>
    <w:rsid w:val="00E64C22"/>
    <w:rsid w:val="00E76E1C"/>
    <w:rsid w:val="00EB17DF"/>
    <w:rsid w:val="00EE77A3"/>
    <w:rsid w:val="00F47B8E"/>
    <w:rsid w:val="00F62117"/>
    <w:rsid w:val="00F73112"/>
    <w:rsid w:val="00FC6D1A"/>
    <w:rsid w:val="00FE1100"/>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ED82D71"/>
  <w15:docId w15:val="{D047A9A1-15D5-4E77-9F39-0A6CCDD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965"/>
    <w:pPr>
      <w:spacing w:after="0" w:line="240" w:lineRule="auto"/>
    </w:pPr>
    <w:rPr>
      <w:sz w:val="24"/>
      <w:szCs w:val="24"/>
    </w:rPr>
  </w:style>
  <w:style w:type="paragraph" w:styleId="Heading1">
    <w:name w:val="heading 1"/>
    <w:basedOn w:val="Normal"/>
    <w:next w:val="Normal"/>
    <w:link w:val="Heading1Char"/>
    <w:uiPriority w:val="99"/>
    <w:qFormat/>
    <w:rsid w:val="008879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7965"/>
    <w:rPr>
      <w:rFonts w:asciiTheme="majorHAnsi" w:eastAsiaTheme="majorEastAsia" w:hAnsiTheme="majorHAnsi" w:cstheme="majorBidi"/>
      <w:b/>
      <w:bCs/>
      <w:kern w:val="32"/>
      <w:sz w:val="32"/>
      <w:szCs w:val="32"/>
    </w:rPr>
  </w:style>
  <w:style w:type="table" w:styleId="TableGrid">
    <w:name w:val="Table Grid"/>
    <w:basedOn w:val="TableNormal"/>
    <w:uiPriority w:val="99"/>
    <w:rsid w:val="008879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87965"/>
    <w:pPr>
      <w:tabs>
        <w:tab w:val="center" w:pos="4320"/>
        <w:tab w:val="right" w:pos="8640"/>
      </w:tabs>
    </w:pPr>
  </w:style>
  <w:style w:type="character" w:customStyle="1" w:styleId="HeaderChar">
    <w:name w:val="Header Char"/>
    <w:basedOn w:val="DefaultParagraphFont"/>
    <w:link w:val="Header"/>
    <w:uiPriority w:val="99"/>
    <w:semiHidden/>
    <w:locked/>
    <w:rsid w:val="00887965"/>
    <w:rPr>
      <w:rFonts w:cs="Times New Roman"/>
      <w:sz w:val="24"/>
      <w:szCs w:val="24"/>
    </w:rPr>
  </w:style>
  <w:style w:type="paragraph" w:styleId="Footer">
    <w:name w:val="footer"/>
    <w:basedOn w:val="Normal"/>
    <w:link w:val="FooterChar"/>
    <w:uiPriority w:val="99"/>
    <w:semiHidden/>
    <w:rsid w:val="00887965"/>
    <w:pPr>
      <w:tabs>
        <w:tab w:val="center" w:pos="4320"/>
        <w:tab w:val="right" w:pos="8640"/>
      </w:tabs>
    </w:pPr>
  </w:style>
  <w:style w:type="character" w:customStyle="1" w:styleId="FooterChar">
    <w:name w:val="Footer Char"/>
    <w:basedOn w:val="DefaultParagraphFont"/>
    <w:link w:val="Footer"/>
    <w:uiPriority w:val="99"/>
    <w:semiHidden/>
    <w:locked/>
    <w:rsid w:val="00887965"/>
    <w:rPr>
      <w:rFonts w:cs="Times New Roman"/>
      <w:sz w:val="24"/>
      <w:szCs w:val="24"/>
    </w:rPr>
  </w:style>
  <w:style w:type="paragraph" w:styleId="BodyTextIndent">
    <w:name w:val="Body Text Indent"/>
    <w:basedOn w:val="Normal"/>
    <w:link w:val="BodyTextIndentChar"/>
    <w:uiPriority w:val="99"/>
    <w:rsid w:val="00887965"/>
    <w:pPr>
      <w:ind w:left="720"/>
    </w:pPr>
  </w:style>
  <w:style w:type="character" w:customStyle="1" w:styleId="BodyTextIndentChar">
    <w:name w:val="Body Text Indent Char"/>
    <w:basedOn w:val="DefaultParagraphFont"/>
    <w:link w:val="BodyTextIndent"/>
    <w:uiPriority w:val="99"/>
    <w:semiHidden/>
    <w:locked/>
    <w:rsid w:val="00887965"/>
    <w:rPr>
      <w:rFonts w:cs="Times New Roman"/>
      <w:sz w:val="24"/>
      <w:szCs w:val="24"/>
    </w:rPr>
  </w:style>
  <w:style w:type="paragraph" w:styleId="BalloonText">
    <w:name w:val="Balloon Text"/>
    <w:basedOn w:val="Normal"/>
    <w:link w:val="BalloonTextChar"/>
    <w:uiPriority w:val="99"/>
    <w:semiHidden/>
    <w:rsid w:val="0088796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87965"/>
    <w:rPr>
      <w:rFonts w:ascii="Tahoma" w:hAnsi="Tahoma" w:cs="Tahoma"/>
      <w:sz w:val="16"/>
      <w:szCs w:val="16"/>
    </w:rPr>
  </w:style>
  <w:style w:type="paragraph" w:styleId="NormalWeb">
    <w:name w:val="Normal (Web)"/>
    <w:basedOn w:val="Normal"/>
    <w:uiPriority w:val="99"/>
    <w:unhideWhenUsed/>
    <w:rsid w:val="006773CB"/>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B8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8911">
      <w:bodyDiv w:val="1"/>
      <w:marLeft w:val="0"/>
      <w:marRight w:val="0"/>
      <w:marTop w:val="0"/>
      <w:marBottom w:val="0"/>
      <w:divBdr>
        <w:top w:val="none" w:sz="0" w:space="0" w:color="auto"/>
        <w:left w:val="none" w:sz="0" w:space="0" w:color="auto"/>
        <w:bottom w:val="none" w:sz="0" w:space="0" w:color="auto"/>
        <w:right w:val="none" w:sz="0" w:space="0" w:color="auto"/>
      </w:divBdr>
      <w:divsChild>
        <w:div w:id="131867447">
          <w:marLeft w:val="0"/>
          <w:marRight w:val="0"/>
          <w:marTop w:val="100"/>
          <w:marBottom w:val="100"/>
          <w:divBdr>
            <w:top w:val="none" w:sz="0" w:space="0" w:color="auto"/>
            <w:left w:val="none" w:sz="0" w:space="0" w:color="auto"/>
            <w:bottom w:val="none" w:sz="0" w:space="0" w:color="auto"/>
            <w:right w:val="none" w:sz="0" w:space="0" w:color="auto"/>
          </w:divBdr>
          <w:divsChild>
            <w:div w:id="19207910">
              <w:marLeft w:val="0"/>
              <w:marRight w:val="0"/>
              <w:marTop w:val="0"/>
              <w:marBottom w:val="0"/>
              <w:divBdr>
                <w:top w:val="none" w:sz="0" w:space="0" w:color="auto"/>
                <w:left w:val="none" w:sz="0" w:space="0" w:color="auto"/>
                <w:bottom w:val="none" w:sz="0" w:space="0" w:color="auto"/>
                <w:right w:val="none" w:sz="0" w:space="0" w:color="auto"/>
              </w:divBdr>
              <w:divsChild>
                <w:div w:id="1255015277">
                  <w:marLeft w:val="0"/>
                  <w:marRight w:val="0"/>
                  <w:marTop w:val="0"/>
                  <w:marBottom w:val="0"/>
                  <w:divBdr>
                    <w:top w:val="none" w:sz="0" w:space="0" w:color="auto"/>
                    <w:left w:val="none" w:sz="0" w:space="0" w:color="auto"/>
                    <w:bottom w:val="none" w:sz="0" w:space="0" w:color="auto"/>
                    <w:right w:val="none" w:sz="0" w:space="0" w:color="auto"/>
                  </w:divBdr>
                  <w:divsChild>
                    <w:div w:id="1057704994">
                      <w:marLeft w:val="0"/>
                      <w:marRight w:val="0"/>
                      <w:marTop w:val="100"/>
                      <w:marBottom w:val="225"/>
                      <w:divBdr>
                        <w:top w:val="none" w:sz="0" w:space="0" w:color="auto"/>
                        <w:left w:val="none" w:sz="0" w:space="0" w:color="auto"/>
                        <w:bottom w:val="none" w:sz="0" w:space="0" w:color="auto"/>
                        <w:right w:val="none" w:sz="0" w:space="0" w:color="auto"/>
                      </w:divBdr>
                      <w:divsChild>
                        <w:div w:id="3913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6030">
      <w:bodyDiv w:val="1"/>
      <w:marLeft w:val="0"/>
      <w:marRight w:val="0"/>
      <w:marTop w:val="0"/>
      <w:marBottom w:val="0"/>
      <w:divBdr>
        <w:top w:val="none" w:sz="0" w:space="0" w:color="auto"/>
        <w:left w:val="none" w:sz="0" w:space="0" w:color="auto"/>
        <w:bottom w:val="none" w:sz="0" w:space="0" w:color="auto"/>
        <w:right w:val="none" w:sz="0" w:space="0" w:color="auto"/>
      </w:divBdr>
    </w:div>
    <w:div w:id="1495024616">
      <w:bodyDiv w:val="1"/>
      <w:marLeft w:val="0"/>
      <w:marRight w:val="0"/>
      <w:marTop w:val="0"/>
      <w:marBottom w:val="0"/>
      <w:divBdr>
        <w:top w:val="none" w:sz="0" w:space="0" w:color="auto"/>
        <w:left w:val="none" w:sz="0" w:space="0" w:color="auto"/>
        <w:bottom w:val="none" w:sz="0" w:space="0" w:color="auto"/>
        <w:right w:val="none" w:sz="0" w:space="0" w:color="auto"/>
      </w:divBdr>
    </w:div>
    <w:div w:id="21080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Pathways I - 21st Century Community Learning Center</vt:lpstr>
    </vt:vector>
  </TitlesOfParts>
  <Company>PSESD</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Pathways I - 21st Century Community Learning Center</dc:title>
  <dc:creator>brcunningham</dc:creator>
  <cp:lastModifiedBy>Bruce Cunningham</cp:lastModifiedBy>
  <cp:revision>44</cp:revision>
  <cp:lastPrinted>2011-08-29T19:48:00Z</cp:lastPrinted>
  <dcterms:created xsi:type="dcterms:W3CDTF">2013-06-21T18:25:00Z</dcterms:created>
  <dcterms:modified xsi:type="dcterms:W3CDTF">2019-08-01T20:19:00Z</dcterms:modified>
</cp:coreProperties>
</file>