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A5AC0" w14:textId="77777777" w:rsidR="00574F11" w:rsidRDefault="00B509D5" w:rsidP="00574F11">
      <w:pPr>
        <w:jc w:val="right"/>
        <w:rPr>
          <w:rFonts w:ascii="Times New Roman" w:hAnsi="Times New Roman"/>
          <w:b/>
          <w:sz w:val="22"/>
        </w:rPr>
      </w:pPr>
      <w:r w:rsidRPr="00574F11">
        <w:rPr>
          <w:rFonts w:ascii="Times New Roman" w:hAnsi="Times New Roman"/>
          <w:b/>
          <w:sz w:val="22"/>
        </w:rPr>
        <w:tab/>
      </w:r>
      <w:r w:rsidRPr="00574F11">
        <w:rPr>
          <w:rFonts w:ascii="Times New Roman" w:hAnsi="Times New Roman"/>
          <w:b/>
          <w:sz w:val="22"/>
        </w:rPr>
        <w:tab/>
      </w:r>
      <w:r w:rsidRPr="00574F11">
        <w:rPr>
          <w:rFonts w:ascii="Times New Roman" w:hAnsi="Times New Roman"/>
          <w:b/>
          <w:sz w:val="22"/>
        </w:rPr>
        <w:tab/>
        <w:t xml:space="preserve">   </w:t>
      </w:r>
      <w:r w:rsidRPr="00574F11">
        <w:rPr>
          <w:rFonts w:ascii="Times New Roman" w:hAnsi="Times New Roman"/>
          <w:b/>
          <w:sz w:val="22"/>
        </w:rPr>
        <w:tab/>
        <w:t xml:space="preserve">                      </w:t>
      </w:r>
      <w:r w:rsidR="00574F11">
        <w:rPr>
          <w:rFonts w:ascii="Times New Roman" w:hAnsi="Times New Roman"/>
          <w:b/>
          <w:sz w:val="22"/>
        </w:rPr>
        <w:t>Operating</w:t>
      </w:r>
      <w:r w:rsidRPr="00574F11">
        <w:rPr>
          <w:rFonts w:ascii="Times New Roman" w:hAnsi="Times New Roman"/>
          <w:b/>
          <w:sz w:val="22"/>
        </w:rPr>
        <w:t xml:space="preserve"> Policy No. 2024</w:t>
      </w:r>
    </w:p>
    <w:p w14:paraId="7B8F5A2E" w14:textId="027BF33D" w:rsidR="00B509D5" w:rsidRPr="00574F11" w:rsidRDefault="00B509D5" w:rsidP="00AE2C2C">
      <w:pPr>
        <w:jc w:val="right"/>
        <w:rPr>
          <w:rFonts w:ascii="Times New Roman" w:hAnsi="Times New Roman"/>
          <w:sz w:val="22"/>
        </w:rPr>
      </w:pPr>
      <w:r w:rsidRPr="00574F11">
        <w:rPr>
          <w:rFonts w:ascii="Times New Roman" w:hAnsi="Times New Roman"/>
          <w:b/>
          <w:sz w:val="22"/>
        </w:rPr>
        <w:t xml:space="preserve"> </w:t>
      </w:r>
      <w:r w:rsidR="00AE2C2C">
        <w:rPr>
          <w:rFonts w:ascii="Times New Roman" w:hAnsi="Times New Roman"/>
          <w:b/>
          <w:sz w:val="22"/>
        </w:rPr>
        <w:t>Instruction</w:t>
      </w:r>
    </w:p>
    <w:p w14:paraId="45839950" w14:textId="651910C3" w:rsidR="00B509D5" w:rsidRDefault="00B509D5" w:rsidP="00B509D5">
      <w:pPr>
        <w:jc w:val="both"/>
        <w:rPr>
          <w:rFonts w:ascii="Times New Roman" w:hAnsi="Times New Roman"/>
          <w:sz w:val="22"/>
        </w:rPr>
      </w:pPr>
    </w:p>
    <w:p w14:paraId="0DA4E382" w14:textId="60CEA1CF" w:rsidR="00574F11" w:rsidRPr="00574F11" w:rsidRDefault="00574F11" w:rsidP="00574F11">
      <w:pPr>
        <w:jc w:val="center"/>
        <w:rPr>
          <w:rFonts w:ascii="Times New Roman" w:hAnsi="Times New Roman"/>
          <w:sz w:val="22"/>
        </w:rPr>
      </w:pPr>
      <w:r w:rsidRPr="00574F11">
        <w:rPr>
          <w:rFonts w:ascii="Times New Roman" w:hAnsi="Times New Roman"/>
          <w:b/>
          <w:sz w:val="22"/>
        </w:rPr>
        <w:t>ONLINE LEARNING</w:t>
      </w:r>
    </w:p>
    <w:p w14:paraId="71D40F1A" w14:textId="77777777" w:rsidR="00AE2C2C" w:rsidRDefault="00AE2C2C" w:rsidP="00B509D5">
      <w:pPr>
        <w:jc w:val="both"/>
        <w:rPr>
          <w:rFonts w:ascii="Times New Roman" w:hAnsi="Times New Roman"/>
          <w:sz w:val="22"/>
        </w:rPr>
      </w:pPr>
    </w:p>
    <w:p w14:paraId="649D5C9D" w14:textId="40E422E5" w:rsidR="00B509D5" w:rsidRPr="00B16D43" w:rsidRDefault="00AE2C2C" w:rsidP="004B24E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Puget Sound Educational Service District (PSESD) </w:t>
      </w:r>
      <w:r w:rsidR="00B509D5" w:rsidRPr="00B16D43">
        <w:rPr>
          <w:rFonts w:ascii="Times New Roman" w:hAnsi="Times New Roman"/>
          <w:sz w:val="22"/>
        </w:rPr>
        <w:t xml:space="preserve">believes that a variety of learning options, including online courses and programs, are critical for 21st Century learners. </w:t>
      </w:r>
      <w:r>
        <w:rPr>
          <w:rFonts w:ascii="Times New Roman" w:hAnsi="Times New Roman"/>
          <w:sz w:val="22"/>
        </w:rPr>
        <w:t>The ESD</w:t>
      </w:r>
      <w:r w:rsidR="00B509D5" w:rsidRPr="00B16D43">
        <w:rPr>
          <w:rFonts w:ascii="Times New Roman" w:hAnsi="Times New Roman"/>
          <w:sz w:val="22"/>
        </w:rPr>
        <w:t xml:space="preserve"> recognizes that the online learning environment provides students with unique opportunities to become self-disciplined learners with life-long learning skills. </w:t>
      </w:r>
      <w:r>
        <w:rPr>
          <w:rFonts w:ascii="Times New Roman" w:hAnsi="Times New Roman"/>
          <w:sz w:val="22"/>
        </w:rPr>
        <w:t>O</w:t>
      </w:r>
      <w:r w:rsidR="00B509D5" w:rsidRPr="00B16D43">
        <w:rPr>
          <w:rFonts w:ascii="Times New Roman" w:hAnsi="Times New Roman"/>
          <w:sz w:val="22"/>
        </w:rPr>
        <w:t>nline learning provides unique and valuable opportunities for students to access curriculum and specialized courses in a flexible learning environment that might not otherwise be available.</w:t>
      </w:r>
    </w:p>
    <w:p w14:paraId="03F6E8FA" w14:textId="77777777" w:rsidR="00B509D5" w:rsidRPr="00B16D43" w:rsidRDefault="00B509D5" w:rsidP="004B24EC">
      <w:pPr>
        <w:rPr>
          <w:rFonts w:ascii="Times New Roman" w:hAnsi="Times New Roman"/>
          <w:sz w:val="22"/>
        </w:rPr>
      </w:pPr>
    </w:p>
    <w:p w14:paraId="32546E8D" w14:textId="39343F16" w:rsidR="00B509D5" w:rsidRPr="00B16D43" w:rsidRDefault="00AE2C2C" w:rsidP="004B24E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PSESD </w:t>
      </w:r>
      <w:r w:rsidR="00B509D5" w:rsidRPr="00B16D43">
        <w:rPr>
          <w:rFonts w:ascii="Times New Roman" w:hAnsi="Times New Roman"/>
          <w:sz w:val="22"/>
        </w:rPr>
        <w:t xml:space="preserve">supports a range of online learning opportunities that are equally accessible to all students </w:t>
      </w:r>
      <w:r>
        <w:rPr>
          <w:rFonts w:ascii="Times New Roman" w:hAnsi="Times New Roman"/>
          <w:sz w:val="22"/>
        </w:rPr>
        <w:t xml:space="preserve">served </w:t>
      </w:r>
      <w:r w:rsidR="00B509D5" w:rsidRPr="00B16D43">
        <w:rPr>
          <w:rFonts w:ascii="Times New Roman" w:hAnsi="Times New Roman"/>
          <w:sz w:val="22"/>
        </w:rPr>
        <w:t xml:space="preserve">in </w:t>
      </w:r>
      <w:r>
        <w:rPr>
          <w:rFonts w:ascii="Times New Roman" w:hAnsi="Times New Roman"/>
          <w:sz w:val="22"/>
        </w:rPr>
        <w:t>PSESD programs</w:t>
      </w:r>
      <w:r w:rsidR="005D737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and will</w:t>
      </w:r>
      <w:r w:rsidR="00B509D5" w:rsidRPr="00B16D43">
        <w:rPr>
          <w:rFonts w:ascii="Times New Roman" w:hAnsi="Times New Roman"/>
          <w:sz w:val="22"/>
        </w:rPr>
        <w:t xml:space="preserve"> provide information to </w:t>
      </w:r>
      <w:r>
        <w:rPr>
          <w:rFonts w:ascii="Times New Roman" w:hAnsi="Times New Roman"/>
          <w:sz w:val="22"/>
        </w:rPr>
        <w:t xml:space="preserve">students, </w:t>
      </w:r>
      <w:r w:rsidR="00B509D5" w:rsidRPr="00B16D43">
        <w:rPr>
          <w:rFonts w:ascii="Times New Roman" w:hAnsi="Times New Roman"/>
          <w:sz w:val="22"/>
        </w:rPr>
        <w:t>parent or guardians</w:t>
      </w:r>
      <w:r>
        <w:rPr>
          <w:rFonts w:ascii="Times New Roman" w:hAnsi="Times New Roman"/>
          <w:sz w:val="22"/>
        </w:rPr>
        <w:t xml:space="preserve"> of those students </w:t>
      </w:r>
      <w:r w:rsidR="00B509D5" w:rsidRPr="00B16D43">
        <w:rPr>
          <w:rFonts w:ascii="Times New Roman" w:hAnsi="Times New Roman"/>
          <w:sz w:val="22"/>
        </w:rPr>
        <w:t>regarding online learning options and the guidelines for participation.</w:t>
      </w:r>
    </w:p>
    <w:p w14:paraId="6C21E5BF" w14:textId="5258AB9E" w:rsidR="00B509D5" w:rsidRDefault="00B509D5" w:rsidP="00B509D5">
      <w:pPr>
        <w:jc w:val="both"/>
        <w:rPr>
          <w:rFonts w:ascii="Times New Roman" w:hAnsi="Times New Roman"/>
          <w:sz w:val="22"/>
        </w:rPr>
      </w:pPr>
    </w:p>
    <w:p w14:paraId="26353625" w14:textId="77777777" w:rsidR="005C2C9D" w:rsidRPr="00B16D43" w:rsidRDefault="005C2C9D" w:rsidP="005C2C9D">
      <w:pPr>
        <w:jc w:val="both"/>
        <w:rPr>
          <w:rFonts w:ascii="Times New Roman" w:hAnsi="Times New Roman"/>
          <w:sz w:val="22"/>
        </w:rPr>
      </w:pPr>
    </w:p>
    <w:p w14:paraId="626AF006" w14:textId="2EC57A40" w:rsidR="005C2C9D" w:rsidRDefault="005C2C9D" w:rsidP="005C2C9D">
      <w:pPr>
        <w:jc w:val="both"/>
        <w:rPr>
          <w:rFonts w:ascii="Times New Roman" w:hAnsi="Times New Roman"/>
          <w:sz w:val="22"/>
        </w:rPr>
      </w:pPr>
      <w:r w:rsidRPr="00B16D43">
        <w:rPr>
          <w:rFonts w:ascii="Times New Roman" w:hAnsi="Times New Roman"/>
          <w:sz w:val="22"/>
        </w:rPr>
        <w:t>Adopt</w:t>
      </w:r>
      <w:r>
        <w:rPr>
          <w:rFonts w:ascii="Times New Roman" w:hAnsi="Times New Roman"/>
          <w:sz w:val="22"/>
        </w:rPr>
        <w:t>ed</w:t>
      </w:r>
      <w:r w:rsidRPr="00B16D43">
        <w:rPr>
          <w:rFonts w:ascii="Times New Roman" w:hAnsi="Times New Roman"/>
          <w:sz w:val="22"/>
        </w:rPr>
        <w:t>: October 2014</w:t>
      </w:r>
    </w:p>
    <w:p w14:paraId="68EFC1AA" w14:textId="70370524" w:rsidR="006B343A" w:rsidRDefault="006B343A" w:rsidP="005C2C9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Revised:  </w:t>
      </w:r>
      <w:r w:rsidR="004B24EC">
        <w:rPr>
          <w:rFonts w:ascii="Times New Roman" w:hAnsi="Times New Roman"/>
          <w:sz w:val="22"/>
        </w:rPr>
        <w:t>March</w:t>
      </w:r>
      <w:r>
        <w:rPr>
          <w:rFonts w:ascii="Times New Roman" w:hAnsi="Times New Roman"/>
          <w:sz w:val="22"/>
        </w:rPr>
        <w:t xml:space="preserve"> 2019</w:t>
      </w:r>
    </w:p>
    <w:p w14:paraId="04E1E2AB" w14:textId="1B7FD142" w:rsidR="005C2C9D" w:rsidRDefault="005C2C9D" w:rsidP="005C2C9D">
      <w:pPr>
        <w:jc w:val="both"/>
        <w:rPr>
          <w:rFonts w:ascii="Times New Roman" w:hAnsi="Times New Roman"/>
          <w:sz w:val="22"/>
        </w:rPr>
      </w:pPr>
    </w:p>
    <w:p w14:paraId="118B87D4" w14:textId="27B6A5DF" w:rsidR="005C2C9D" w:rsidRDefault="005C2C9D" w:rsidP="005C2C9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Relevant Board Governance Policy:</w:t>
      </w:r>
      <w:r w:rsidR="005D737F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EL 3 Treatment of Stakeholders</w:t>
      </w:r>
    </w:p>
    <w:p w14:paraId="566B0F34" w14:textId="57FF4F1E" w:rsidR="005C2C9D" w:rsidRDefault="005C2C9D" w:rsidP="005C2C9D">
      <w:pPr>
        <w:jc w:val="both"/>
        <w:rPr>
          <w:rFonts w:ascii="Times New Roman" w:hAnsi="Times New Roman"/>
          <w:sz w:val="22"/>
        </w:rPr>
      </w:pPr>
    </w:p>
    <w:p w14:paraId="788B1C38" w14:textId="65257C99" w:rsidR="005C2C9D" w:rsidRPr="00B16D43" w:rsidRDefault="005C2C9D" w:rsidP="005C2C9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Cross References:</w:t>
      </w:r>
      <w:r w:rsidR="005D737F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Operating Policy No.</w:t>
      </w:r>
      <w:r w:rsidR="003D3DF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2022 Use of Electronic Resources</w:t>
      </w:r>
    </w:p>
    <w:p w14:paraId="2EBC9B00" w14:textId="77777777" w:rsidR="00AE2C2C" w:rsidRPr="00B16D43" w:rsidRDefault="00AE2C2C" w:rsidP="00B509D5">
      <w:pPr>
        <w:jc w:val="both"/>
        <w:rPr>
          <w:rFonts w:ascii="Times New Roman" w:hAnsi="Times New Roman"/>
          <w:sz w:val="22"/>
        </w:rPr>
      </w:pPr>
    </w:p>
    <w:p w14:paraId="6B77B803" w14:textId="77777777" w:rsidR="00B509D5" w:rsidRPr="00B16D43" w:rsidRDefault="00B509D5" w:rsidP="00B509D5">
      <w:pPr>
        <w:tabs>
          <w:tab w:val="left" w:pos="2160"/>
          <w:tab w:val="left" w:pos="4320"/>
        </w:tabs>
        <w:ind w:left="4320" w:right="-54" w:hanging="4320"/>
        <w:rPr>
          <w:rFonts w:ascii="Times New Roman" w:hAnsi="Times New Roman"/>
          <w:sz w:val="22"/>
        </w:rPr>
      </w:pPr>
      <w:r w:rsidRPr="00B16D43">
        <w:rPr>
          <w:rFonts w:ascii="Times New Roman" w:hAnsi="Times New Roman"/>
          <w:sz w:val="22"/>
        </w:rPr>
        <w:t xml:space="preserve">Legal References: </w:t>
      </w:r>
      <w:r w:rsidRPr="00B16D43">
        <w:rPr>
          <w:rFonts w:ascii="Times New Roman" w:hAnsi="Times New Roman"/>
          <w:sz w:val="22"/>
        </w:rPr>
        <w:tab/>
        <w:t xml:space="preserve">RCW 28A.150.220 </w:t>
      </w:r>
      <w:r w:rsidRPr="00B16D43">
        <w:rPr>
          <w:rFonts w:ascii="Times New Roman" w:hAnsi="Times New Roman"/>
          <w:sz w:val="22"/>
        </w:rPr>
        <w:tab/>
        <w:t>Basic Education–Minimum instructional requirements–           Program accessibility–Rules</w:t>
      </w:r>
    </w:p>
    <w:p w14:paraId="6ADB2D05" w14:textId="77777777" w:rsidR="00B509D5" w:rsidRPr="00B16D43" w:rsidRDefault="00B509D5" w:rsidP="00B509D5">
      <w:pPr>
        <w:ind w:left="4320" w:hanging="2160"/>
        <w:rPr>
          <w:rFonts w:ascii="Times New Roman" w:hAnsi="Times New Roman"/>
          <w:sz w:val="22"/>
        </w:rPr>
      </w:pPr>
      <w:r w:rsidRPr="00B16D43">
        <w:rPr>
          <w:rFonts w:ascii="Times New Roman" w:hAnsi="Times New Roman"/>
          <w:sz w:val="22"/>
        </w:rPr>
        <w:t xml:space="preserve">RCW 28A.150.262 </w:t>
      </w:r>
      <w:r w:rsidRPr="00B16D43">
        <w:rPr>
          <w:rFonts w:ascii="Times New Roman" w:hAnsi="Times New Roman"/>
          <w:sz w:val="22"/>
        </w:rPr>
        <w:tab/>
        <w:t>Defining full-time equivalent student–Students receiving instruction through alternative learning experience online programs–Requirements–Rules</w:t>
      </w:r>
    </w:p>
    <w:p w14:paraId="755B023D" w14:textId="77777777" w:rsidR="00B509D5" w:rsidRPr="00B16D43" w:rsidRDefault="00B509D5" w:rsidP="00B509D5">
      <w:pPr>
        <w:ind w:left="1440" w:firstLine="720"/>
        <w:rPr>
          <w:rFonts w:ascii="Times New Roman" w:hAnsi="Times New Roman"/>
          <w:sz w:val="22"/>
        </w:rPr>
      </w:pPr>
      <w:r w:rsidRPr="00B16D43">
        <w:rPr>
          <w:rFonts w:ascii="Times New Roman" w:hAnsi="Times New Roman"/>
          <w:sz w:val="22"/>
        </w:rPr>
        <w:t xml:space="preserve">RCW 28A.225   </w:t>
      </w:r>
      <w:r w:rsidRPr="00B16D43">
        <w:rPr>
          <w:rFonts w:ascii="Times New Roman" w:hAnsi="Times New Roman"/>
          <w:sz w:val="22"/>
        </w:rPr>
        <w:tab/>
        <w:t>Compulsory School Attendance and Admission</w:t>
      </w:r>
    </w:p>
    <w:p w14:paraId="3F71CDE1" w14:textId="77777777" w:rsidR="00B509D5" w:rsidRPr="00B16D43" w:rsidRDefault="00B509D5" w:rsidP="00B509D5">
      <w:pPr>
        <w:ind w:left="4320" w:hanging="2160"/>
        <w:rPr>
          <w:rFonts w:ascii="Times New Roman" w:hAnsi="Times New Roman"/>
          <w:sz w:val="22"/>
        </w:rPr>
      </w:pPr>
      <w:r w:rsidRPr="00B16D43">
        <w:rPr>
          <w:rFonts w:ascii="Times New Roman" w:hAnsi="Times New Roman"/>
          <w:sz w:val="22"/>
        </w:rPr>
        <w:t xml:space="preserve">RCW 28A.230.090 </w:t>
      </w:r>
      <w:r w:rsidRPr="00B16D43">
        <w:rPr>
          <w:rFonts w:ascii="Times New Roman" w:hAnsi="Times New Roman"/>
          <w:sz w:val="22"/>
        </w:rPr>
        <w:tab/>
        <w:t>High school graduation requirements or equivalencies–Reevaluation of graduation requirements–Review and authorization of proposed changes– Credit for courses taken before attending high school–Postsecondary credit equivalencies.</w:t>
      </w:r>
    </w:p>
    <w:p w14:paraId="0BF403FD" w14:textId="77777777" w:rsidR="00B509D5" w:rsidRPr="00B16D43" w:rsidRDefault="00B509D5" w:rsidP="00B509D5">
      <w:pPr>
        <w:ind w:left="1440" w:firstLine="720"/>
        <w:rPr>
          <w:rFonts w:ascii="Times New Roman" w:hAnsi="Times New Roman"/>
          <w:sz w:val="22"/>
        </w:rPr>
      </w:pPr>
      <w:r w:rsidRPr="00B16D43">
        <w:rPr>
          <w:rFonts w:ascii="Times New Roman" w:hAnsi="Times New Roman"/>
          <w:sz w:val="22"/>
        </w:rPr>
        <w:t xml:space="preserve">RCW 28A.250 </w:t>
      </w:r>
      <w:r w:rsidRPr="00B16D43">
        <w:rPr>
          <w:rFonts w:ascii="Times New Roman" w:hAnsi="Times New Roman"/>
          <w:sz w:val="22"/>
        </w:rPr>
        <w:tab/>
      </w:r>
      <w:r w:rsidRPr="00B16D43">
        <w:rPr>
          <w:rFonts w:ascii="Times New Roman" w:hAnsi="Times New Roman"/>
          <w:sz w:val="22"/>
        </w:rPr>
        <w:tab/>
        <w:t>Online Learning</w:t>
      </w:r>
    </w:p>
    <w:p w14:paraId="2B49ACD2" w14:textId="77777777" w:rsidR="00B509D5" w:rsidRPr="00B16D43" w:rsidRDefault="00B509D5" w:rsidP="00B509D5">
      <w:pPr>
        <w:ind w:left="4320" w:hanging="2160"/>
        <w:rPr>
          <w:rFonts w:ascii="Times New Roman" w:hAnsi="Times New Roman"/>
          <w:sz w:val="22"/>
        </w:rPr>
      </w:pPr>
      <w:r w:rsidRPr="00B16D43">
        <w:rPr>
          <w:rFonts w:ascii="Times New Roman" w:hAnsi="Times New Roman"/>
          <w:sz w:val="22"/>
        </w:rPr>
        <w:t xml:space="preserve">RCW 28A.320.035 </w:t>
      </w:r>
      <w:r w:rsidRPr="00B16D43">
        <w:rPr>
          <w:rFonts w:ascii="Times New Roman" w:hAnsi="Times New Roman"/>
          <w:sz w:val="22"/>
        </w:rPr>
        <w:tab/>
        <w:t>Contracting out–Board’s powers and duties–Goods and services</w:t>
      </w:r>
    </w:p>
    <w:p w14:paraId="4477B8B3" w14:textId="77777777" w:rsidR="00B509D5" w:rsidRPr="00B16D43" w:rsidRDefault="00B509D5" w:rsidP="00B509D5">
      <w:pPr>
        <w:ind w:left="2160"/>
        <w:rPr>
          <w:rFonts w:ascii="Times New Roman" w:hAnsi="Times New Roman"/>
          <w:sz w:val="22"/>
        </w:rPr>
      </w:pPr>
      <w:r w:rsidRPr="00B16D43">
        <w:rPr>
          <w:rFonts w:ascii="Times New Roman" w:hAnsi="Times New Roman"/>
          <w:sz w:val="22"/>
        </w:rPr>
        <w:t xml:space="preserve">WAC 180-51 </w:t>
      </w:r>
      <w:r w:rsidRPr="00B16D43">
        <w:rPr>
          <w:rFonts w:ascii="Times New Roman" w:hAnsi="Times New Roman"/>
          <w:sz w:val="22"/>
        </w:rPr>
        <w:tab/>
      </w:r>
      <w:r w:rsidRPr="00B16D43">
        <w:rPr>
          <w:rFonts w:ascii="Times New Roman" w:hAnsi="Times New Roman"/>
          <w:sz w:val="22"/>
        </w:rPr>
        <w:tab/>
        <w:t>High school graduation requirements</w:t>
      </w:r>
    </w:p>
    <w:p w14:paraId="3FF57EA6" w14:textId="77777777" w:rsidR="00B509D5" w:rsidRPr="00B16D43" w:rsidRDefault="00B509D5" w:rsidP="00B509D5">
      <w:pPr>
        <w:ind w:left="2160"/>
        <w:rPr>
          <w:rFonts w:ascii="Times New Roman" w:hAnsi="Times New Roman"/>
          <w:sz w:val="22"/>
        </w:rPr>
      </w:pPr>
      <w:r w:rsidRPr="00B16D43">
        <w:rPr>
          <w:rFonts w:ascii="Times New Roman" w:hAnsi="Times New Roman"/>
          <w:sz w:val="22"/>
        </w:rPr>
        <w:t xml:space="preserve">WAC 392-121-182 </w:t>
      </w:r>
      <w:r w:rsidRPr="00B16D43">
        <w:rPr>
          <w:rFonts w:ascii="Times New Roman" w:hAnsi="Times New Roman"/>
          <w:sz w:val="22"/>
        </w:rPr>
        <w:tab/>
        <w:t>Alternative learning experience requirements</w:t>
      </w:r>
    </w:p>
    <w:p w14:paraId="4808750E" w14:textId="77777777" w:rsidR="00B509D5" w:rsidRPr="00B16D43" w:rsidRDefault="00B509D5" w:rsidP="00B509D5">
      <w:pPr>
        <w:ind w:left="2160"/>
        <w:rPr>
          <w:rFonts w:ascii="Times New Roman" w:hAnsi="Times New Roman"/>
          <w:sz w:val="22"/>
        </w:rPr>
      </w:pPr>
      <w:r w:rsidRPr="00B16D43">
        <w:rPr>
          <w:rFonts w:ascii="Times New Roman" w:hAnsi="Times New Roman"/>
          <w:sz w:val="22"/>
        </w:rPr>
        <w:t xml:space="preserve">WAC 392-121-188 </w:t>
      </w:r>
      <w:r w:rsidRPr="00B16D43">
        <w:rPr>
          <w:rFonts w:ascii="Times New Roman" w:hAnsi="Times New Roman"/>
          <w:sz w:val="22"/>
        </w:rPr>
        <w:tab/>
        <w:t>Instruction provided under contract</w:t>
      </w:r>
    </w:p>
    <w:p w14:paraId="077F7042" w14:textId="77777777" w:rsidR="00B509D5" w:rsidRPr="00B16D43" w:rsidRDefault="00B509D5" w:rsidP="00B509D5">
      <w:pPr>
        <w:ind w:left="4320" w:hanging="2160"/>
        <w:rPr>
          <w:rFonts w:ascii="Times New Roman" w:hAnsi="Times New Roman"/>
          <w:sz w:val="22"/>
        </w:rPr>
      </w:pPr>
      <w:r w:rsidRPr="00B16D43">
        <w:rPr>
          <w:rFonts w:ascii="Times New Roman" w:hAnsi="Times New Roman"/>
          <w:sz w:val="22"/>
        </w:rPr>
        <w:t xml:space="preserve">WAC 392-410-310 </w:t>
      </w:r>
      <w:r w:rsidRPr="00B16D43">
        <w:rPr>
          <w:rFonts w:ascii="Times New Roman" w:hAnsi="Times New Roman"/>
          <w:sz w:val="22"/>
        </w:rPr>
        <w:tab/>
        <w:t>Equivalency course of study–Credit for correspondence courses, electronically mediated courses, and college courses.</w:t>
      </w:r>
    </w:p>
    <w:p w14:paraId="3F02431B" w14:textId="00768227" w:rsidR="00B509D5" w:rsidRPr="00B16D43" w:rsidRDefault="00B509D5" w:rsidP="005D737F">
      <w:pPr>
        <w:ind w:left="4320" w:hanging="2160"/>
        <w:rPr>
          <w:rFonts w:ascii="Times New Roman" w:hAnsi="Times New Roman"/>
          <w:sz w:val="22"/>
        </w:rPr>
      </w:pPr>
      <w:r w:rsidRPr="00B16D43">
        <w:rPr>
          <w:rFonts w:ascii="Times New Roman" w:hAnsi="Times New Roman"/>
          <w:sz w:val="22"/>
        </w:rPr>
        <w:t xml:space="preserve">WAC 392-502 </w:t>
      </w:r>
      <w:r w:rsidRPr="00B16D43">
        <w:rPr>
          <w:rFonts w:ascii="Times New Roman" w:hAnsi="Times New Roman"/>
          <w:sz w:val="22"/>
        </w:rPr>
        <w:tab/>
        <w:t xml:space="preserve">Online Learning–Approval of multidistrict online providers </w:t>
      </w:r>
    </w:p>
    <w:p w14:paraId="54D54650" w14:textId="77777777" w:rsidR="00B509D5" w:rsidRPr="00B16D43" w:rsidRDefault="00B509D5" w:rsidP="00B509D5">
      <w:pPr>
        <w:jc w:val="both"/>
        <w:rPr>
          <w:rFonts w:ascii="Times New Roman" w:hAnsi="Times New Roman"/>
          <w:sz w:val="22"/>
        </w:rPr>
      </w:pPr>
    </w:p>
    <w:p w14:paraId="14F74D4C" w14:textId="77777777" w:rsidR="00B509D5" w:rsidRPr="00B16D43" w:rsidRDefault="00B509D5" w:rsidP="00B509D5">
      <w:pPr>
        <w:jc w:val="both"/>
        <w:rPr>
          <w:rFonts w:ascii="Times New Roman" w:hAnsi="Times New Roman"/>
          <w:sz w:val="22"/>
        </w:rPr>
      </w:pPr>
    </w:p>
    <w:p w14:paraId="6E5D151A" w14:textId="77777777" w:rsidR="00B509D5" w:rsidRPr="00B16D43" w:rsidRDefault="00B509D5" w:rsidP="00B509D5">
      <w:pPr>
        <w:jc w:val="both"/>
        <w:rPr>
          <w:rFonts w:ascii="Times New Roman" w:hAnsi="Times New Roman"/>
          <w:sz w:val="22"/>
        </w:rPr>
      </w:pPr>
    </w:p>
    <w:p w14:paraId="03FF8501" w14:textId="77777777" w:rsidR="00B509D5" w:rsidRPr="00B16D43" w:rsidRDefault="00B509D5" w:rsidP="00B509D5">
      <w:pPr>
        <w:jc w:val="both"/>
        <w:rPr>
          <w:rFonts w:ascii="Times New Roman" w:hAnsi="Times New Roman"/>
          <w:sz w:val="22"/>
        </w:rPr>
      </w:pPr>
    </w:p>
    <w:p w14:paraId="7397E8FB" w14:textId="2F3466C9" w:rsidR="005B799E" w:rsidRPr="005D737F" w:rsidRDefault="005B799E">
      <w:pPr>
        <w:pStyle w:val="NormalWeb"/>
        <w:rPr>
          <w:sz w:val="18"/>
          <w:szCs w:val="18"/>
        </w:rPr>
      </w:pPr>
      <w:bookmarkStart w:id="0" w:name="_GoBack"/>
      <w:bookmarkEnd w:id="0"/>
    </w:p>
    <w:sectPr w:rsidR="005B799E" w:rsidRPr="005D73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E29CA" w14:textId="77777777" w:rsidR="000F67E1" w:rsidRDefault="000F67E1" w:rsidP="009A203C">
      <w:r>
        <w:separator/>
      </w:r>
    </w:p>
  </w:endnote>
  <w:endnote w:type="continuationSeparator" w:id="0">
    <w:p w14:paraId="5BB38D34" w14:textId="77777777" w:rsidR="000F67E1" w:rsidRDefault="000F67E1" w:rsidP="009A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81D41" w14:textId="77777777" w:rsidR="009A203C" w:rsidRDefault="009A2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77986" w14:textId="77777777" w:rsidR="009A203C" w:rsidRDefault="009A20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351D3" w14:textId="77777777" w:rsidR="009A203C" w:rsidRDefault="009A2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F47B3" w14:textId="77777777" w:rsidR="000F67E1" w:rsidRDefault="000F67E1" w:rsidP="009A203C">
      <w:r>
        <w:separator/>
      </w:r>
    </w:p>
  </w:footnote>
  <w:footnote w:type="continuationSeparator" w:id="0">
    <w:p w14:paraId="0B44E15C" w14:textId="77777777" w:rsidR="000F67E1" w:rsidRDefault="000F67E1" w:rsidP="009A2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C2C0B" w14:textId="77777777" w:rsidR="009A203C" w:rsidRDefault="009A20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E787E" w14:textId="77777777" w:rsidR="009A203C" w:rsidRDefault="009A20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AA092" w14:textId="77777777" w:rsidR="009A203C" w:rsidRDefault="009A20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50E"/>
    <w:rsid w:val="000F67E1"/>
    <w:rsid w:val="00103B10"/>
    <w:rsid w:val="00293D82"/>
    <w:rsid w:val="003D3DF7"/>
    <w:rsid w:val="004B24EC"/>
    <w:rsid w:val="00570884"/>
    <w:rsid w:val="00574F11"/>
    <w:rsid w:val="005B799E"/>
    <w:rsid w:val="005C2C9D"/>
    <w:rsid w:val="005D737F"/>
    <w:rsid w:val="00600F38"/>
    <w:rsid w:val="006B343A"/>
    <w:rsid w:val="0074450E"/>
    <w:rsid w:val="008975B0"/>
    <w:rsid w:val="008D7844"/>
    <w:rsid w:val="0094474D"/>
    <w:rsid w:val="009A203C"/>
    <w:rsid w:val="00AE2C2C"/>
    <w:rsid w:val="00B509D5"/>
    <w:rsid w:val="00C93EA3"/>
    <w:rsid w:val="00FA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54289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  <w:style w:type="paragraph" w:styleId="Header">
    <w:name w:val="header"/>
    <w:basedOn w:val="Normal"/>
    <w:link w:val="HeaderChar"/>
    <w:uiPriority w:val="99"/>
    <w:unhideWhenUsed/>
    <w:rsid w:val="009A2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03C"/>
    <w:rPr>
      <w:rFonts w:ascii="Verdana" w:eastAsia="Verdana" w:hAnsi="Verdana"/>
      <w:szCs w:val="22"/>
    </w:rPr>
  </w:style>
  <w:style w:type="paragraph" w:styleId="Footer">
    <w:name w:val="footer"/>
    <w:basedOn w:val="Normal"/>
    <w:link w:val="FooterChar"/>
    <w:uiPriority w:val="99"/>
    <w:unhideWhenUsed/>
    <w:rsid w:val="009A2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03C"/>
    <w:rPr>
      <w:rFonts w:ascii="Verdana" w:eastAsia="Verdana" w:hAnsi="Verdana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C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C2C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2019-02-06T18:08:00Z</dcterms:created>
  <dcterms:modified xsi:type="dcterms:W3CDTF">2019-03-12T19:49:00Z</dcterms:modified>
</cp:coreProperties>
</file>